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7A" w:rsidRPr="00A17034" w:rsidRDefault="002D1A6A" w:rsidP="00BB452C">
      <w:pPr>
        <w:spacing w:line="240" w:lineRule="auto"/>
        <w:rPr>
          <w:rFonts w:ascii="Helvetica" w:hAnsi="Helvetica" w:cs="Helvetica"/>
          <w:b/>
          <w:sz w:val="28"/>
        </w:rPr>
      </w:pPr>
      <w:r w:rsidRPr="00A17034">
        <w:rPr>
          <w:rFonts w:ascii="Helvetica" w:hAnsi="Helvetica" w:cs="Helvetica"/>
          <w:b/>
          <w:sz w:val="28"/>
        </w:rPr>
        <w:t>The impact of mathematical thinking and cultural practices on students’ performance</w:t>
      </w:r>
    </w:p>
    <w:p w:rsidR="00356FF3" w:rsidRPr="00A17034" w:rsidRDefault="00356FF3" w:rsidP="00BB452C">
      <w:pPr>
        <w:spacing w:line="240" w:lineRule="auto"/>
        <w:rPr>
          <w:rFonts w:ascii="Helvetica" w:hAnsi="Helvetica" w:cs="Helvetica"/>
        </w:rPr>
      </w:pPr>
    </w:p>
    <w:p w:rsidR="00DB74D5" w:rsidRDefault="00DB74D5" w:rsidP="00BB452C">
      <w:pPr>
        <w:spacing w:line="240" w:lineRule="auto"/>
        <w:rPr>
          <w:rFonts w:ascii="Helvetica" w:hAnsi="Helvetica" w:cs="Helvetica"/>
        </w:rPr>
      </w:pPr>
    </w:p>
    <w:p w:rsidR="00AF282A" w:rsidRDefault="00AF282A" w:rsidP="00BB452C">
      <w:pPr>
        <w:spacing w:line="240" w:lineRule="auto"/>
        <w:rPr>
          <w:rFonts w:ascii="Helvetica" w:hAnsi="Helvetica" w:cs="Helvetica"/>
        </w:rPr>
      </w:pPr>
    </w:p>
    <w:p w:rsidR="00AF282A" w:rsidRDefault="00AF282A" w:rsidP="00BB452C">
      <w:pPr>
        <w:spacing w:line="240" w:lineRule="auto"/>
        <w:rPr>
          <w:rFonts w:ascii="Helvetica" w:hAnsi="Helvetica" w:cs="Helvetica"/>
        </w:rPr>
      </w:pPr>
    </w:p>
    <w:p w:rsidR="00AF282A" w:rsidRPr="00A17034" w:rsidRDefault="00AF282A" w:rsidP="00BB452C">
      <w:pPr>
        <w:spacing w:line="240" w:lineRule="auto"/>
        <w:rPr>
          <w:rFonts w:ascii="Helvetica" w:hAnsi="Helvetica" w:cs="Helvetica"/>
        </w:rPr>
      </w:pPr>
    </w:p>
    <w:p w:rsidR="00356FF3" w:rsidRPr="00A17034" w:rsidRDefault="00E728E0" w:rsidP="00BB452C">
      <w:pPr>
        <w:spacing w:line="240" w:lineRule="auto"/>
        <w:rPr>
          <w:rFonts w:ascii="Helvetica" w:hAnsi="Helvetica" w:cs="Helvetica"/>
          <w:vertAlign w:val="superscript"/>
        </w:rPr>
      </w:pPr>
      <w:r w:rsidRPr="00A17034">
        <w:rPr>
          <w:rFonts w:ascii="Helvetica" w:hAnsi="Helvetica" w:cs="Helvetica"/>
          <w:b/>
        </w:rPr>
        <w:t>John Dewey</w:t>
      </w:r>
      <w:r w:rsidR="00356FF3" w:rsidRPr="00A17034">
        <w:rPr>
          <w:rFonts w:ascii="Helvetica" w:hAnsi="Helvetica" w:cs="Helvetica"/>
          <w:vertAlign w:val="superscript"/>
        </w:rPr>
        <w:t>1</w:t>
      </w:r>
      <w:r w:rsidR="00356FF3" w:rsidRPr="00A17034">
        <w:rPr>
          <w:rFonts w:ascii="Helvetica" w:hAnsi="Helvetica" w:cs="Helvetica"/>
        </w:rPr>
        <w:t xml:space="preserve">, </w:t>
      </w:r>
      <w:r w:rsidRPr="00A17034">
        <w:rPr>
          <w:rFonts w:ascii="Helvetica" w:hAnsi="Helvetica" w:cs="Helvetica"/>
          <w:b/>
        </w:rPr>
        <w:t>Jean Piaget</w:t>
      </w:r>
      <w:r w:rsidR="00356FF3" w:rsidRPr="00A17034">
        <w:rPr>
          <w:rFonts w:ascii="Helvetica" w:hAnsi="Helvetica" w:cs="Helvetica"/>
          <w:vertAlign w:val="superscript"/>
        </w:rPr>
        <w:t>2</w:t>
      </w:r>
      <w:r w:rsidR="005413A2" w:rsidRPr="005413A2">
        <w:rPr>
          <w:rStyle w:val="FootnoteReference"/>
          <w:rFonts w:ascii="Helvetica" w:hAnsi="Helvetica" w:cs="Helvetica"/>
          <w:b/>
          <w:vertAlign w:val="baseline"/>
        </w:rPr>
        <w:footnoteReference w:id="1"/>
      </w:r>
      <w:r w:rsidR="00356FF3" w:rsidRPr="00A17034">
        <w:rPr>
          <w:rFonts w:ascii="Helvetica" w:hAnsi="Helvetica" w:cs="Helvetica"/>
        </w:rPr>
        <w:t xml:space="preserve">, </w:t>
      </w:r>
      <w:r w:rsidRPr="00A17034">
        <w:rPr>
          <w:rFonts w:ascii="Helvetica" w:hAnsi="Helvetica" w:cs="Helvetica"/>
          <w:b/>
        </w:rPr>
        <w:t>Bejamin S. Bloom</w:t>
      </w:r>
      <w:r w:rsidR="00356FF3" w:rsidRPr="00A17034">
        <w:rPr>
          <w:rFonts w:ascii="Helvetica" w:hAnsi="Helvetica" w:cs="Helvetica"/>
          <w:vertAlign w:val="superscript"/>
        </w:rPr>
        <w:t>3</w:t>
      </w:r>
    </w:p>
    <w:p w:rsidR="00356FF3" w:rsidRPr="00A17034" w:rsidRDefault="00356FF3" w:rsidP="00BB452C">
      <w:pPr>
        <w:spacing w:line="240" w:lineRule="auto"/>
        <w:rPr>
          <w:rFonts w:ascii="Helvetica" w:hAnsi="Helvetica" w:cs="Helvetica"/>
        </w:rPr>
      </w:pPr>
      <w:r w:rsidRPr="00A17034">
        <w:rPr>
          <w:rFonts w:ascii="Helvetica" w:hAnsi="Helvetica" w:cs="Helvetica"/>
          <w:vertAlign w:val="superscript"/>
        </w:rPr>
        <w:t>1</w:t>
      </w:r>
      <w:r w:rsidRPr="00A17034">
        <w:rPr>
          <w:rFonts w:ascii="Helvetica" w:hAnsi="Helvetica" w:cs="Helvetica"/>
        </w:rPr>
        <w:t xml:space="preserve">Universitas </w:t>
      </w:r>
      <w:r w:rsidR="00BE0CAA" w:rsidRPr="00A17034">
        <w:rPr>
          <w:rFonts w:ascii="Helvetica" w:hAnsi="Helvetica" w:cs="Helvetica"/>
        </w:rPr>
        <w:t>Asal Mana</w:t>
      </w:r>
      <w:r w:rsidRPr="00A17034">
        <w:rPr>
          <w:rFonts w:ascii="Helvetica" w:hAnsi="Helvetica" w:cs="Helvetica"/>
        </w:rPr>
        <w:t xml:space="preserve">, </w:t>
      </w:r>
      <w:r w:rsidR="0083776B" w:rsidRPr="00A17034">
        <w:rPr>
          <w:rFonts w:ascii="Helvetica" w:hAnsi="Helvetica" w:cs="Helvetica"/>
        </w:rPr>
        <w:t>United State of America</w:t>
      </w:r>
    </w:p>
    <w:p w:rsidR="00356FF3" w:rsidRPr="00A17034" w:rsidRDefault="00356FF3" w:rsidP="00BB452C">
      <w:pPr>
        <w:spacing w:line="240" w:lineRule="auto"/>
        <w:rPr>
          <w:rFonts w:ascii="Helvetica" w:hAnsi="Helvetica" w:cs="Helvetica"/>
        </w:rPr>
      </w:pPr>
      <w:r w:rsidRPr="00A17034">
        <w:rPr>
          <w:rFonts w:ascii="Helvetica" w:hAnsi="Helvetica" w:cs="Helvetica"/>
          <w:vertAlign w:val="superscript"/>
        </w:rPr>
        <w:t>2</w:t>
      </w:r>
      <w:r w:rsidRPr="00A17034">
        <w:rPr>
          <w:rFonts w:ascii="Helvetica" w:hAnsi="Helvetica" w:cs="Helvetica"/>
        </w:rPr>
        <w:t xml:space="preserve">Universitas </w:t>
      </w:r>
      <w:r w:rsidR="00BE0CAA" w:rsidRPr="00A17034">
        <w:rPr>
          <w:rFonts w:ascii="Helvetica" w:hAnsi="Helvetica" w:cs="Helvetica"/>
        </w:rPr>
        <w:t>Manatuh Asalmu</w:t>
      </w:r>
      <w:r w:rsidRPr="00A17034">
        <w:rPr>
          <w:rFonts w:ascii="Helvetica" w:hAnsi="Helvetica" w:cs="Helvetica"/>
        </w:rPr>
        <w:t xml:space="preserve">, </w:t>
      </w:r>
      <w:r w:rsidR="004901D5" w:rsidRPr="004901D5">
        <w:rPr>
          <w:rFonts w:ascii="Helvetica" w:hAnsi="Helvetica" w:cs="Helvetica"/>
        </w:rPr>
        <w:t>Switzerland</w:t>
      </w:r>
    </w:p>
    <w:p w:rsidR="00356FF3" w:rsidRPr="00A17034" w:rsidRDefault="00356FF3" w:rsidP="00BB452C">
      <w:pPr>
        <w:spacing w:line="240" w:lineRule="auto"/>
        <w:rPr>
          <w:rFonts w:ascii="Helvetica" w:hAnsi="Helvetica" w:cs="Helvetica"/>
        </w:rPr>
      </w:pPr>
      <w:r w:rsidRPr="00A17034">
        <w:rPr>
          <w:rFonts w:ascii="Helvetica" w:hAnsi="Helvetica" w:cs="Helvetica"/>
          <w:vertAlign w:val="superscript"/>
        </w:rPr>
        <w:t>3</w:t>
      </w:r>
      <w:r w:rsidRPr="00A17034">
        <w:rPr>
          <w:rFonts w:ascii="Helvetica" w:hAnsi="Helvetica" w:cs="Helvetica"/>
        </w:rPr>
        <w:t xml:space="preserve">Universitas </w:t>
      </w:r>
      <w:r w:rsidR="00BE0CAA" w:rsidRPr="00A17034">
        <w:rPr>
          <w:rFonts w:ascii="Helvetica" w:hAnsi="Helvetica" w:cs="Helvetica"/>
        </w:rPr>
        <w:t>Dari Mana</w:t>
      </w:r>
      <w:r w:rsidRPr="00A17034">
        <w:rPr>
          <w:rFonts w:ascii="Helvetica" w:hAnsi="Helvetica" w:cs="Helvetica"/>
        </w:rPr>
        <w:t xml:space="preserve">, </w:t>
      </w:r>
      <w:r w:rsidR="004901D5" w:rsidRPr="004901D5">
        <w:rPr>
          <w:rFonts w:ascii="Helvetica" w:hAnsi="Helvetica" w:cs="Helvetica"/>
        </w:rPr>
        <w:t>United State of America</w:t>
      </w:r>
    </w:p>
    <w:p w:rsidR="00356FF3" w:rsidRPr="00A17034" w:rsidRDefault="00356FF3" w:rsidP="00BB452C">
      <w:pPr>
        <w:spacing w:line="240" w:lineRule="auto"/>
        <w:rPr>
          <w:rFonts w:ascii="Helvetica" w:hAnsi="Helvetica" w:cs="Helvetica"/>
        </w:rPr>
      </w:pPr>
    </w:p>
    <w:p w:rsidR="00356FF3" w:rsidRDefault="00356FF3" w:rsidP="00BB452C">
      <w:pPr>
        <w:spacing w:line="240" w:lineRule="auto"/>
        <w:rPr>
          <w:rFonts w:ascii="Helvetica" w:hAnsi="Helvetica" w:cs="Helvetica"/>
        </w:rPr>
      </w:pPr>
    </w:p>
    <w:p w:rsidR="00AF282A" w:rsidRPr="00A17034" w:rsidRDefault="00AF282A" w:rsidP="00BB452C">
      <w:pPr>
        <w:spacing w:line="240" w:lineRule="auto"/>
        <w:rPr>
          <w:rFonts w:ascii="Helvetica" w:hAnsi="Helvetica" w:cs="Helvetica"/>
        </w:rPr>
      </w:pPr>
    </w:p>
    <w:p w:rsidR="00356FF3" w:rsidRPr="00A17034" w:rsidRDefault="00356FF3" w:rsidP="00BB452C">
      <w:pPr>
        <w:spacing w:line="240" w:lineRule="auto"/>
        <w:rPr>
          <w:rFonts w:ascii="Helvetica" w:hAnsi="Helvetica" w:cs="Helvetica"/>
          <w:b/>
        </w:rPr>
      </w:pPr>
      <w:r w:rsidRPr="00A17034">
        <w:rPr>
          <w:rFonts w:ascii="Helvetica" w:hAnsi="Helvetica" w:cs="Helvetica"/>
          <w:b/>
        </w:rPr>
        <w:t>ABSTRACT</w:t>
      </w:r>
    </w:p>
    <w:p w:rsidR="00356FF3" w:rsidRPr="0063640A" w:rsidRDefault="003F1A1D" w:rsidP="00BB452C">
      <w:pPr>
        <w:spacing w:line="240" w:lineRule="auto"/>
        <w:jc w:val="both"/>
        <w:rPr>
          <w:rFonts w:ascii="Helvetica" w:hAnsi="Helvetica" w:cs="Helvetica"/>
          <w:sz w:val="20"/>
        </w:rPr>
      </w:pPr>
      <w:r w:rsidRPr="003F1A1D">
        <w:rPr>
          <w:rFonts w:ascii="Helvetica" w:hAnsi="Helvetica" w:cs="Helvetica"/>
          <w:sz w:val="20"/>
        </w:rPr>
        <w:t xml:space="preserve">The article must include an abstract of </w:t>
      </w:r>
      <w:r w:rsidR="00D7508C">
        <w:rPr>
          <w:rFonts w:ascii="Helvetica" w:hAnsi="Helvetica" w:cs="Helvetica"/>
          <w:sz w:val="20"/>
        </w:rPr>
        <w:t>1</w:t>
      </w:r>
      <w:r w:rsidRPr="003F1A1D">
        <w:rPr>
          <w:rFonts w:ascii="Helvetica" w:hAnsi="Helvetica" w:cs="Helvetica"/>
          <w:sz w:val="20"/>
        </w:rPr>
        <w:t>00–</w:t>
      </w:r>
      <w:r>
        <w:rPr>
          <w:rFonts w:ascii="Helvetica" w:hAnsi="Helvetica" w:cs="Helvetica"/>
          <w:sz w:val="20"/>
        </w:rPr>
        <w:t>25</w:t>
      </w:r>
      <w:r w:rsidRPr="003F1A1D">
        <w:rPr>
          <w:rFonts w:ascii="Helvetica" w:hAnsi="Helvetica" w:cs="Helvetica"/>
          <w:sz w:val="20"/>
        </w:rPr>
        <w:t xml:space="preserve">0 words. The abstract should not repeat information already stated in the title. It must be written in </w:t>
      </w:r>
      <w:r w:rsidR="00115BCA">
        <w:rPr>
          <w:rFonts w:ascii="Helvetica" w:hAnsi="Helvetica" w:cs="Helvetica"/>
          <w:sz w:val="20"/>
        </w:rPr>
        <w:t>English</w:t>
      </w:r>
      <w:r w:rsidRPr="003F1A1D">
        <w:rPr>
          <w:rFonts w:ascii="Helvetica" w:hAnsi="Helvetica" w:cs="Helvetica"/>
          <w:sz w:val="20"/>
        </w:rPr>
        <w:t xml:space="preserve"> and should provide sufficient detail, containing:</w:t>
      </w:r>
      <w:r w:rsidR="009A290D" w:rsidRPr="009A290D">
        <w:rPr>
          <w:rFonts w:ascii="Helvetica" w:hAnsi="Helvetica" w:cs="Helvetica"/>
          <w:sz w:val="20"/>
        </w:rPr>
        <w:t xml:space="preserve"> </w:t>
      </w:r>
      <w:r w:rsidR="00EC7206" w:rsidRPr="009A290D">
        <w:rPr>
          <w:rFonts w:ascii="Helvetica" w:hAnsi="Helvetica" w:cs="Helvetica"/>
          <w:sz w:val="20"/>
        </w:rPr>
        <w:t xml:space="preserve">(1) </w:t>
      </w:r>
      <w:r w:rsidR="0064090D">
        <w:rPr>
          <w:rFonts w:ascii="Helvetica" w:hAnsi="Helvetica" w:cs="Helvetica"/>
          <w:sz w:val="20"/>
        </w:rPr>
        <w:t>a</w:t>
      </w:r>
      <w:r w:rsidR="0064090D" w:rsidRPr="0064090D">
        <w:rPr>
          <w:rFonts w:ascii="Helvetica" w:hAnsi="Helvetica" w:cs="Helvetica"/>
          <w:sz w:val="20"/>
        </w:rPr>
        <w:t>n introductory statement explaining the importance of the research</w:t>
      </w:r>
      <w:r w:rsidR="00EC7206" w:rsidRPr="009A290D">
        <w:rPr>
          <w:rFonts w:ascii="Helvetica" w:hAnsi="Helvetica" w:cs="Helvetica"/>
          <w:sz w:val="20"/>
        </w:rPr>
        <w:t xml:space="preserve">, (2) </w:t>
      </w:r>
      <w:r w:rsidR="0064090D">
        <w:rPr>
          <w:rFonts w:ascii="Helvetica" w:hAnsi="Helvetica" w:cs="Helvetica"/>
          <w:sz w:val="20"/>
        </w:rPr>
        <w:t xml:space="preserve">the </w:t>
      </w:r>
      <w:r w:rsidR="0064090D" w:rsidRPr="0064090D">
        <w:rPr>
          <w:rFonts w:ascii="Helvetica" w:hAnsi="Helvetica" w:cs="Helvetica"/>
          <w:sz w:val="20"/>
        </w:rPr>
        <w:t>research objectives</w:t>
      </w:r>
      <w:r w:rsidR="00EC7206" w:rsidRPr="009A290D">
        <w:rPr>
          <w:rFonts w:ascii="Helvetica" w:hAnsi="Helvetica" w:cs="Helvetica"/>
          <w:sz w:val="20"/>
        </w:rPr>
        <w:t xml:space="preserve">, (3) </w:t>
      </w:r>
      <w:r w:rsidR="0064090D">
        <w:rPr>
          <w:rFonts w:ascii="Helvetica" w:hAnsi="Helvetica" w:cs="Helvetica"/>
          <w:sz w:val="20"/>
        </w:rPr>
        <w:t xml:space="preserve">a </w:t>
      </w:r>
      <w:r w:rsidR="0064090D" w:rsidRPr="0064090D">
        <w:rPr>
          <w:rFonts w:ascii="Helvetica" w:hAnsi="Helvetica" w:cs="Helvetica"/>
          <w:sz w:val="20"/>
        </w:rPr>
        <w:t>summary of the methodology (including subjects, instruments, data collection procedures, or data analysis)</w:t>
      </w:r>
      <w:r w:rsidR="00EC7206" w:rsidRPr="009A290D">
        <w:rPr>
          <w:rFonts w:ascii="Helvetica" w:hAnsi="Helvetica" w:cs="Helvetica"/>
          <w:sz w:val="20"/>
        </w:rPr>
        <w:t xml:space="preserve">, (4) </w:t>
      </w:r>
      <w:r w:rsidR="0064090D">
        <w:rPr>
          <w:rFonts w:ascii="Helvetica" w:hAnsi="Helvetica" w:cs="Helvetica"/>
          <w:sz w:val="20"/>
        </w:rPr>
        <w:t xml:space="preserve">the </w:t>
      </w:r>
      <w:r w:rsidR="0064090D" w:rsidRPr="0064090D">
        <w:rPr>
          <w:rFonts w:ascii="Helvetica" w:hAnsi="Helvetica" w:cs="Helvetica"/>
          <w:sz w:val="20"/>
        </w:rPr>
        <w:t>research results/findings, and</w:t>
      </w:r>
      <w:r w:rsidR="00EC7206" w:rsidRPr="009A290D">
        <w:rPr>
          <w:rFonts w:ascii="Helvetica" w:hAnsi="Helvetica" w:cs="Helvetica"/>
          <w:sz w:val="20"/>
        </w:rPr>
        <w:t xml:space="preserve"> (5)</w:t>
      </w:r>
      <w:r w:rsidR="0064090D">
        <w:rPr>
          <w:rFonts w:ascii="Helvetica" w:hAnsi="Helvetica" w:cs="Helvetica"/>
          <w:sz w:val="20"/>
        </w:rPr>
        <w:t xml:space="preserve"> the</w:t>
      </w:r>
      <w:r w:rsidR="00EC7206" w:rsidRPr="009A290D">
        <w:rPr>
          <w:rFonts w:ascii="Helvetica" w:hAnsi="Helvetica" w:cs="Helvetica"/>
          <w:sz w:val="20"/>
        </w:rPr>
        <w:t xml:space="preserve"> </w:t>
      </w:r>
      <w:r w:rsidR="0064090D" w:rsidRPr="0064090D">
        <w:rPr>
          <w:rFonts w:ascii="Helvetica" w:hAnsi="Helvetica" w:cs="Helvetica"/>
          <w:sz w:val="20"/>
        </w:rPr>
        <w:t>implications or recommendations of the study</w:t>
      </w:r>
      <w:r w:rsidR="009A290D" w:rsidRPr="009A290D">
        <w:rPr>
          <w:rFonts w:ascii="Helvetica" w:hAnsi="Helvetica" w:cs="Helvetica"/>
          <w:sz w:val="20"/>
        </w:rPr>
        <w:t>.</w:t>
      </w:r>
      <w:r w:rsidR="000939E7">
        <w:rPr>
          <w:rFonts w:ascii="Helvetica" w:hAnsi="Helvetica" w:cs="Helvetica"/>
          <w:sz w:val="20"/>
        </w:rPr>
        <w:t xml:space="preserve"> Example: </w:t>
      </w:r>
      <w:r w:rsidR="00604C13">
        <w:rPr>
          <w:rFonts w:ascii="Helvetica" w:hAnsi="Helvetica" w:cs="Helvetica"/>
          <w:sz w:val="20"/>
        </w:rPr>
        <w:t>T</w:t>
      </w:r>
      <w:r w:rsidR="00626E44" w:rsidRPr="00626E44">
        <w:rPr>
          <w:rFonts w:ascii="Helvetica" w:hAnsi="Helvetica" w:cs="Helvetica"/>
          <w:sz w:val="20"/>
        </w:rPr>
        <w:t>he rapid development of digital technology requires students to possess adequate digital literacy. However, the uneven levels of digital literacy among students hinder the optimal use of technology in impro</w:t>
      </w:r>
      <w:r w:rsidR="00626E44">
        <w:rPr>
          <w:rFonts w:ascii="Helvetica" w:hAnsi="Helvetica" w:cs="Helvetica"/>
          <w:sz w:val="20"/>
        </w:rPr>
        <w:t xml:space="preserve">ving their academic achievement. </w:t>
      </w:r>
      <w:r w:rsidR="00291D24" w:rsidRPr="0063640A">
        <w:rPr>
          <w:rFonts w:ascii="Helvetica" w:hAnsi="Helvetica" w:cs="Helvetica"/>
          <w:b/>
          <w:sz w:val="20"/>
        </w:rPr>
        <w:t>Purpose</w:t>
      </w:r>
      <w:r w:rsidR="00291D24" w:rsidRPr="0063640A">
        <w:rPr>
          <w:rFonts w:ascii="Helvetica" w:hAnsi="Helvetica" w:cs="Helvetica"/>
          <w:sz w:val="20"/>
        </w:rPr>
        <w:t>: t</w:t>
      </w:r>
      <w:r w:rsidR="0085554C" w:rsidRPr="0063640A">
        <w:rPr>
          <w:rFonts w:ascii="Helvetica" w:hAnsi="Helvetica" w:cs="Helvetica"/>
          <w:sz w:val="20"/>
        </w:rPr>
        <w:t xml:space="preserve">his study examines the influence of digital literacy skills on university students’ academic performance in higher education. </w:t>
      </w:r>
      <w:r w:rsidR="00291D24" w:rsidRPr="0063640A">
        <w:rPr>
          <w:rFonts w:ascii="Helvetica" w:hAnsi="Helvetica" w:cs="Helvetica"/>
          <w:b/>
          <w:sz w:val="20"/>
        </w:rPr>
        <w:t>Method</w:t>
      </w:r>
      <w:r w:rsidR="00291D24" w:rsidRPr="0063640A">
        <w:rPr>
          <w:rFonts w:ascii="Helvetica" w:hAnsi="Helvetica" w:cs="Helvetica"/>
          <w:sz w:val="20"/>
        </w:rPr>
        <w:t>: u</w:t>
      </w:r>
      <w:r w:rsidR="0085554C" w:rsidRPr="0063640A">
        <w:rPr>
          <w:rFonts w:ascii="Helvetica" w:hAnsi="Helvetica" w:cs="Helvetica"/>
          <w:sz w:val="20"/>
        </w:rPr>
        <w:t xml:space="preserve">sing a correlational research design, data were collected from </w:t>
      </w:r>
      <w:r w:rsidR="00604C13">
        <w:rPr>
          <w:rFonts w:ascii="Helvetica" w:hAnsi="Helvetica" w:cs="Helvetica"/>
          <w:sz w:val="20"/>
        </w:rPr>
        <w:t>157</w:t>
      </w:r>
      <w:r w:rsidR="0085554C" w:rsidRPr="0063640A">
        <w:rPr>
          <w:rFonts w:ascii="Helvetica" w:hAnsi="Helvetica" w:cs="Helvetica"/>
          <w:sz w:val="20"/>
        </w:rPr>
        <w:t xml:space="preserve"> students through a validated digital literacy assessment and academic performance records. </w:t>
      </w:r>
      <w:r w:rsidR="00291D24" w:rsidRPr="0063640A">
        <w:rPr>
          <w:rFonts w:ascii="Helvetica" w:hAnsi="Helvetica" w:cs="Helvetica"/>
          <w:b/>
          <w:sz w:val="20"/>
        </w:rPr>
        <w:t>Findings</w:t>
      </w:r>
      <w:r w:rsidR="00291D24" w:rsidRPr="0063640A">
        <w:rPr>
          <w:rFonts w:ascii="Helvetica" w:hAnsi="Helvetica" w:cs="Helvetica"/>
          <w:sz w:val="20"/>
        </w:rPr>
        <w:t>: t</w:t>
      </w:r>
      <w:r w:rsidR="0085554C" w:rsidRPr="0063640A">
        <w:rPr>
          <w:rFonts w:ascii="Helvetica" w:hAnsi="Helvetica" w:cs="Helvetica"/>
          <w:sz w:val="20"/>
        </w:rPr>
        <w:t xml:space="preserve">he results indicate a significant positive relationship between students’ levels of digital literacy and their </w:t>
      </w:r>
      <w:r w:rsidR="00EC7206" w:rsidRPr="0063640A">
        <w:rPr>
          <w:rFonts w:ascii="Helvetica" w:hAnsi="Helvetica" w:cs="Helvetica"/>
          <w:sz w:val="20"/>
        </w:rPr>
        <w:t xml:space="preserve">Grade Point Averages </w:t>
      </w:r>
      <w:r w:rsidR="0085554C" w:rsidRPr="0063640A">
        <w:rPr>
          <w:rFonts w:ascii="Helvetica" w:hAnsi="Helvetica" w:cs="Helvetica"/>
          <w:sz w:val="20"/>
        </w:rPr>
        <w:t xml:space="preserve">(GPA). Regression analysis further shows that information evaluation, digital communication, and content creation are the strongest predictors of academic achievement. </w:t>
      </w:r>
      <w:r w:rsidR="00291D24" w:rsidRPr="0063640A">
        <w:rPr>
          <w:rFonts w:ascii="Helvetica" w:hAnsi="Helvetica" w:cs="Helvetica"/>
          <w:b/>
          <w:sz w:val="20"/>
        </w:rPr>
        <w:t>Significance</w:t>
      </w:r>
      <w:r w:rsidR="00291D24" w:rsidRPr="0063640A">
        <w:rPr>
          <w:rFonts w:ascii="Helvetica" w:hAnsi="Helvetica" w:cs="Helvetica"/>
          <w:sz w:val="20"/>
        </w:rPr>
        <w:t>: t</w:t>
      </w:r>
      <w:r w:rsidR="0085554C" w:rsidRPr="0063640A">
        <w:rPr>
          <w:rFonts w:ascii="Helvetica" w:hAnsi="Helvetica" w:cs="Helvetica"/>
          <w:sz w:val="20"/>
        </w:rPr>
        <w:t>hese findings suggest that improving digital literacy competencies can contribute to enhanced learning outcomes. The study recommends that higher education institutions integrate structured digital literacy training into curricula to support student success in an increasingly technology-driven learning environment.</w:t>
      </w:r>
    </w:p>
    <w:p w:rsidR="00AA2C2D" w:rsidRPr="00A17034" w:rsidRDefault="00AA2C2D" w:rsidP="00BB452C">
      <w:pPr>
        <w:spacing w:line="240" w:lineRule="auto"/>
        <w:rPr>
          <w:rFonts w:ascii="Helvetica" w:hAnsi="Helvetica" w:cs="Helvetica"/>
        </w:rPr>
      </w:pPr>
    </w:p>
    <w:p w:rsidR="00356FF3" w:rsidRPr="00A17034" w:rsidRDefault="00AA2C2D" w:rsidP="00BB452C">
      <w:pPr>
        <w:spacing w:line="240" w:lineRule="auto"/>
        <w:rPr>
          <w:rFonts w:ascii="Helvetica" w:hAnsi="Helvetica" w:cs="Helvetica"/>
          <w:b/>
        </w:rPr>
      </w:pPr>
      <w:r w:rsidRPr="00A17034">
        <w:rPr>
          <w:rFonts w:ascii="Helvetica" w:hAnsi="Helvetica" w:cs="Helvetica"/>
          <w:b/>
        </w:rPr>
        <w:t>KEYWORDS</w:t>
      </w:r>
    </w:p>
    <w:p w:rsidR="00356FF3" w:rsidRPr="0063640A" w:rsidRDefault="0029243A" w:rsidP="00711447">
      <w:pPr>
        <w:spacing w:line="240" w:lineRule="auto"/>
        <w:jc w:val="both"/>
        <w:rPr>
          <w:rFonts w:ascii="Helvetica" w:hAnsi="Helvetica" w:cs="Helvetica"/>
          <w:sz w:val="20"/>
        </w:rPr>
      </w:pPr>
      <w:r w:rsidRPr="0063640A">
        <w:rPr>
          <w:rFonts w:ascii="Helvetica" w:hAnsi="Helvetica" w:cs="Helvetica"/>
          <w:sz w:val="20"/>
        </w:rPr>
        <w:t>A</w:t>
      </w:r>
      <w:r w:rsidR="0085554C" w:rsidRPr="0063640A">
        <w:rPr>
          <w:rFonts w:ascii="Helvetica" w:hAnsi="Helvetica" w:cs="Helvetica"/>
          <w:sz w:val="20"/>
        </w:rPr>
        <w:t>cademic performance</w:t>
      </w:r>
      <w:r w:rsidR="00711447">
        <w:rPr>
          <w:rFonts w:ascii="Helvetica" w:hAnsi="Helvetica" w:cs="Helvetica"/>
          <w:sz w:val="20"/>
        </w:rPr>
        <w:t xml:space="preserve">, </w:t>
      </w:r>
      <w:r w:rsidR="00711447" w:rsidRPr="00711447">
        <w:rPr>
          <w:rFonts w:ascii="Helvetica" w:hAnsi="Helvetica" w:cs="Helvetica"/>
          <w:sz w:val="20"/>
        </w:rPr>
        <w:t>digital communication</w:t>
      </w:r>
      <w:r w:rsidR="0085554C" w:rsidRPr="0063640A">
        <w:rPr>
          <w:rFonts w:ascii="Helvetica" w:hAnsi="Helvetica" w:cs="Helvetica"/>
          <w:sz w:val="20"/>
        </w:rPr>
        <w:t xml:space="preserve">, </w:t>
      </w:r>
      <w:r w:rsidRPr="0063640A">
        <w:rPr>
          <w:rFonts w:ascii="Helvetica" w:hAnsi="Helvetica" w:cs="Helvetica"/>
          <w:sz w:val="20"/>
        </w:rPr>
        <w:t xml:space="preserve">digital literacy, </w:t>
      </w:r>
      <w:r w:rsidR="0085554C" w:rsidRPr="0063640A">
        <w:rPr>
          <w:rFonts w:ascii="Helvetica" w:hAnsi="Helvetica" w:cs="Helvetica"/>
          <w:sz w:val="20"/>
        </w:rPr>
        <w:t>higher education, technology integration.</w:t>
      </w:r>
    </w:p>
    <w:p w:rsidR="00AA2C2D" w:rsidRPr="00A17034" w:rsidRDefault="00AA2C2D" w:rsidP="00BB452C">
      <w:pPr>
        <w:spacing w:line="240" w:lineRule="auto"/>
        <w:rPr>
          <w:rFonts w:ascii="Helvetica" w:hAnsi="Helvetica" w:cs="Helvetica"/>
          <w:b/>
        </w:rPr>
      </w:pPr>
    </w:p>
    <w:p w:rsidR="00DB74D5" w:rsidRPr="00A17034" w:rsidRDefault="00DB74D5" w:rsidP="00BB452C">
      <w:pPr>
        <w:spacing w:line="240" w:lineRule="auto"/>
        <w:rPr>
          <w:rFonts w:ascii="Helvetica" w:hAnsi="Helvetica" w:cs="Helvetica"/>
          <w:b/>
        </w:rPr>
      </w:pPr>
    </w:p>
    <w:p w:rsidR="00BB452C" w:rsidRPr="00A17034" w:rsidRDefault="00BB452C" w:rsidP="00BB452C">
      <w:pPr>
        <w:spacing w:line="240" w:lineRule="auto"/>
        <w:rPr>
          <w:rFonts w:ascii="Helvetica" w:hAnsi="Helvetica" w:cs="Helvetica"/>
          <w:b/>
        </w:rPr>
      </w:pPr>
    </w:p>
    <w:p w:rsidR="00DB74D5" w:rsidRPr="00A17034" w:rsidRDefault="00DB74D5" w:rsidP="00BB452C">
      <w:pPr>
        <w:pStyle w:val="ListParagraph"/>
        <w:numPr>
          <w:ilvl w:val="0"/>
          <w:numId w:val="1"/>
        </w:numPr>
        <w:spacing w:after="0" w:line="240" w:lineRule="auto"/>
        <w:ind w:left="340" w:hanging="340"/>
        <w:rPr>
          <w:rFonts w:ascii="Helvetica" w:hAnsi="Helvetica" w:cs="Helvetica"/>
          <w:b/>
        </w:rPr>
      </w:pPr>
      <w:r w:rsidRPr="00A17034">
        <w:rPr>
          <w:rFonts w:ascii="Helvetica" w:hAnsi="Helvetica" w:cs="Helvetica"/>
          <w:b/>
        </w:rPr>
        <w:t>INTRODUCTION</w:t>
      </w:r>
    </w:p>
    <w:p w:rsidR="00296CEA" w:rsidRPr="00A17034" w:rsidRDefault="00296CEA" w:rsidP="00BB452C">
      <w:pPr>
        <w:spacing w:line="240" w:lineRule="auto"/>
        <w:jc w:val="both"/>
        <w:rPr>
          <w:rFonts w:ascii="Helvetica" w:hAnsi="Helvetica" w:cs="Helvetica"/>
        </w:rPr>
      </w:pPr>
    </w:p>
    <w:p w:rsidR="009A290D" w:rsidRDefault="009B145E" w:rsidP="00BB452C">
      <w:pPr>
        <w:spacing w:line="240" w:lineRule="auto"/>
        <w:jc w:val="both"/>
        <w:rPr>
          <w:rFonts w:ascii="Helvetica" w:hAnsi="Helvetica" w:cs="Helvetica"/>
        </w:rPr>
      </w:pPr>
      <w:r w:rsidRPr="009B145E">
        <w:rPr>
          <w:rFonts w:ascii="Helvetica" w:hAnsi="Helvetica" w:cs="Helvetica"/>
        </w:rPr>
        <w:t xml:space="preserve">The introduction must be clear and written descriptively, containing at least the following elements: the significance of the research by reviewing both international and national </w:t>
      </w:r>
      <w:r w:rsidRPr="009B145E">
        <w:rPr>
          <w:rFonts w:ascii="Helvetica" w:hAnsi="Helvetica" w:cs="Helvetica"/>
        </w:rPr>
        <w:lastRenderedPageBreak/>
        <w:t>issues with clearly cited sources; the researcher’s response to the issues presented; findings from previous studies related to the stated issues, leading to the identification of the research gap between the current study and previous works; the novelty or research niche addressed, supported by relevant primary theories; and the specific focus of the present research. This section should conclude the introduction, in which the objectives or research questions are written descriptively wit</w:t>
      </w:r>
      <w:r>
        <w:rPr>
          <w:rFonts w:ascii="Helvetica" w:hAnsi="Helvetica" w:cs="Helvetica"/>
        </w:rPr>
        <w:t>hout bullet points or numbering</w:t>
      </w:r>
      <w:r w:rsidR="009A290D" w:rsidRPr="009A290D">
        <w:rPr>
          <w:rFonts w:ascii="Helvetica" w:hAnsi="Helvetica" w:cs="Helvetica"/>
        </w:rPr>
        <w:t>.</w:t>
      </w:r>
    </w:p>
    <w:p w:rsidR="000D3B95" w:rsidRDefault="009B145E" w:rsidP="009A290D">
      <w:pPr>
        <w:spacing w:line="240" w:lineRule="auto"/>
        <w:ind w:firstLine="340"/>
        <w:jc w:val="both"/>
        <w:rPr>
          <w:rFonts w:ascii="Helvetica" w:hAnsi="Helvetica" w:cs="Helvetica"/>
        </w:rPr>
      </w:pPr>
      <w:r w:rsidRPr="009B145E">
        <w:rPr>
          <w:rFonts w:ascii="Helvetica" w:hAnsi="Helvetica" w:cs="Helvetica"/>
        </w:rPr>
        <w:t>For convenience, authors are encouraged to use this template in its entirety by replacing each section with their own content so that the submitted article fully complies with the guidelines, while deleting unnecessary sections to avoid errors in other parts of the manuscript.</w:t>
      </w:r>
    </w:p>
    <w:p w:rsidR="00DB74D5" w:rsidRPr="00A17034" w:rsidRDefault="00296CEA" w:rsidP="009A290D">
      <w:pPr>
        <w:spacing w:line="240" w:lineRule="auto"/>
        <w:ind w:firstLine="340"/>
        <w:jc w:val="both"/>
        <w:rPr>
          <w:rFonts w:ascii="Helvetica" w:hAnsi="Helvetica" w:cs="Helvetica"/>
        </w:rPr>
      </w:pPr>
      <w:r w:rsidRPr="00A17034">
        <w:rPr>
          <w:rFonts w:ascii="Helvetica" w:hAnsi="Helvetica" w:cs="Helvetica"/>
        </w:rPr>
        <w:t>The rapid integration of digital technologies into higher education has transformed how students access information, interact with learning materials, and demonstrate academic competencies. As universities shift toward blended and fully online learning environments, digital literacy has become a foundational skill essential for academic success</w:t>
      </w:r>
      <w:r w:rsidR="006A7605">
        <w:rPr>
          <w:rFonts w:ascii="Helvetica" w:hAnsi="Helvetica" w:cs="Helvetica"/>
        </w:rPr>
        <w:t xml:space="preserve"> (</w:t>
      </w:r>
      <w:r w:rsidR="006A7605" w:rsidRPr="006A7605">
        <w:rPr>
          <w:rFonts w:ascii="Helvetica" w:hAnsi="Helvetica" w:cs="Helvetica"/>
        </w:rPr>
        <w:t>Gustiningsi</w:t>
      </w:r>
      <w:r w:rsidR="006A7605">
        <w:rPr>
          <w:rFonts w:ascii="Helvetica" w:hAnsi="Helvetica" w:cs="Helvetica"/>
        </w:rPr>
        <w:t xml:space="preserve"> </w:t>
      </w:r>
      <w:r w:rsidR="006A7605" w:rsidRPr="006A7605">
        <w:rPr>
          <w:rFonts w:ascii="Helvetica" w:hAnsi="Helvetica" w:cs="Helvetica"/>
        </w:rPr>
        <w:t>&amp; Putri,</w:t>
      </w:r>
      <w:r w:rsidR="006A7605">
        <w:rPr>
          <w:rFonts w:ascii="Helvetica" w:hAnsi="Helvetica" w:cs="Helvetica"/>
        </w:rPr>
        <w:t xml:space="preserve"> </w:t>
      </w:r>
      <w:r w:rsidR="006A7605" w:rsidRPr="006A7605">
        <w:rPr>
          <w:rFonts w:ascii="Helvetica" w:hAnsi="Helvetica" w:cs="Helvetica"/>
        </w:rPr>
        <w:t>2024</w:t>
      </w:r>
      <w:r w:rsidR="006A7605">
        <w:rPr>
          <w:rFonts w:ascii="Helvetica" w:hAnsi="Helvetica" w:cs="Helvetica"/>
        </w:rPr>
        <w:t>)</w:t>
      </w:r>
      <w:r w:rsidRPr="00A17034">
        <w:rPr>
          <w:rFonts w:ascii="Helvetica" w:hAnsi="Helvetica" w:cs="Helvetica"/>
        </w:rPr>
        <w:t>. Digital literacy not only encompasses the ability to operate technological tools but also includes higher-order competencies such as evaluating information credibility, managing digital content, and engaging in responsible online communication</w:t>
      </w:r>
      <w:r w:rsidR="00DC6DFA">
        <w:rPr>
          <w:rFonts w:ascii="Helvetica" w:hAnsi="Helvetica" w:cs="Helvetica"/>
        </w:rPr>
        <w:t xml:space="preserve"> (</w:t>
      </w:r>
      <w:r w:rsidR="00DC6DFA" w:rsidRPr="00DC6DFA">
        <w:rPr>
          <w:rFonts w:ascii="Helvetica" w:hAnsi="Helvetica" w:cs="Helvetica"/>
        </w:rPr>
        <w:t>Nusantara</w:t>
      </w:r>
      <w:r w:rsidR="00DC6DFA">
        <w:rPr>
          <w:rFonts w:ascii="Helvetica" w:hAnsi="Helvetica" w:cs="Helvetica"/>
        </w:rPr>
        <w:t xml:space="preserve"> et al., 2025)</w:t>
      </w:r>
      <w:r w:rsidRPr="00A17034">
        <w:rPr>
          <w:rFonts w:ascii="Helvetica" w:hAnsi="Helvetica" w:cs="Helvetica"/>
        </w:rPr>
        <w:t>. Consequently, institutions are increasingly recognizing the necessity of equipping students with these skills to navigate complex digital learning ecosystems effectively.</w:t>
      </w:r>
    </w:p>
    <w:p w:rsidR="00296CEA" w:rsidRPr="00A17034" w:rsidRDefault="00296CEA" w:rsidP="00BB452C">
      <w:pPr>
        <w:spacing w:line="240" w:lineRule="auto"/>
        <w:ind w:firstLine="340"/>
        <w:jc w:val="both"/>
        <w:rPr>
          <w:rFonts w:ascii="Helvetica" w:hAnsi="Helvetica" w:cs="Helvetica"/>
        </w:rPr>
      </w:pPr>
      <w:r w:rsidRPr="00A17034">
        <w:rPr>
          <w:rFonts w:ascii="Helvetica" w:hAnsi="Helvetica" w:cs="Helvetica"/>
        </w:rPr>
        <w:t>Despite its growing importance, the relationship between digital literacy and academic performance remains underexplored in many higher education contexts, particularly in developing regions where technology adoption varies widely across institutions. Previous studies have shown mixed findings regarding how digital competencies influence learning outcomes, suggesting the need for context-specific investigation. Understanding this relationship is crucial for designing evidence-based interventions that support student achievement</w:t>
      </w:r>
      <w:r w:rsidR="009D7573">
        <w:rPr>
          <w:rFonts w:ascii="Helvetica" w:hAnsi="Helvetica" w:cs="Helvetica"/>
        </w:rPr>
        <w:t xml:space="preserve"> (</w:t>
      </w:r>
      <w:r w:rsidR="009D7573" w:rsidRPr="009D7573">
        <w:rPr>
          <w:rFonts w:ascii="Helvetica" w:hAnsi="Helvetica" w:cs="Helvetica"/>
        </w:rPr>
        <w:t>Alghadari</w:t>
      </w:r>
      <w:r w:rsidR="009D7573">
        <w:rPr>
          <w:rFonts w:ascii="Helvetica" w:hAnsi="Helvetica" w:cs="Helvetica"/>
        </w:rPr>
        <w:t xml:space="preserve"> et al.</w:t>
      </w:r>
      <w:r w:rsidR="009D7573" w:rsidRPr="009D7573">
        <w:rPr>
          <w:rFonts w:ascii="Helvetica" w:hAnsi="Helvetica" w:cs="Helvetica"/>
        </w:rPr>
        <w:t>,</w:t>
      </w:r>
      <w:r w:rsidR="009D7573">
        <w:rPr>
          <w:rFonts w:ascii="Helvetica" w:hAnsi="Helvetica" w:cs="Helvetica"/>
        </w:rPr>
        <w:t xml:space="preserve"> </w:t>
      </w:r>
      <w:r w:rsidR="009D7573" w:rsidRPr="009D7573">
        <w:rPr>
          <w:rFonts w:ascii="Helvetica" w:hAnsi="Helvetica" w:cs="Helvetica"/>
        </w:rPr>
        <w:t>2025</w:t>
      </w:r>
      <w:r w:rsidR="009D7573">
        <w:rPr>
          <w:rFonts w:ascii="Helvetica" w:hAnsi="Helvetica" w:cs="Helvetica"/>
        </w:rPr>
        <w:t>)</w:t>
      </w:r>
      <w:r w:rsidRPr="00A17034">
        <w:rPr>
          <w:rFonts w:ascii="Helvetica" w:hAnsi="Helvetica" w:cs="Helvetica"/>
        </w:rPr>
        <w:t>. Therefore, this study aims to examine the extent to which digital literacy levels predict academic performance among university students, providing insights that can guide policy development and instructional practices within technology-enhanced learning environments.</w:t>
      </w:r>
    </w:p>
    <w:p w:rsidR="00296CEA" w:rsidRPr="00A17034" w:rsidRDefault="00296CEA" w:rsidP="00BB452C">
      <w:pPr>
        <w:spacing w:line="240" w:lineRule="auto"/>
        <w:ind w:firstLine="340"/>
        <w:jc w:val="both"/>
        <w:rPr>
          <w:rFonts w:ascii="Helvetica" w:hAnsi="Helvetica" w:cs="Helvetica"/>
        </w:rPr>
      </w:pPr>
      <w:r w:rsidRPr="00A17034">
        <w:rPr>
          <w:rFonts w:ascii="Helvetica" w:hAnsi="Helvetica" w:cs="Helvetica"/>
        </w:rPr>
        <w:t>Moreover, the increasing reliance on digital platforms for lectures, assessments, and academic communication highlights the urgency for students to possess adequate digital literacy skills. Learners who lack these competencies may face barriers in understanding course content, completing digital assignments, or collaborating in virtual environments, potentially widening the achievement gap. As universities continue to innovate through learning management systems, e-resources, and AI-based tools, digital literacy becomes not merely an optional skill but a critical determinant of students’ ability to engage meaningfully in academic tasks. This study, therefore, positions digital literacy as a central component of contemporary student readiness, underscoring its relevance for fostering equitable and effective learning experiences in higher education.</w:t>
      </w:r>
    </w:p>
    <w:p w:rsidR="00DB74D5" w:rsidRPr="00A17034" w:rsidRDefault="00DB74D5" w:rsidP="00BB452C">
      <w:pPr>
        <w:spacing w:line="240" w:lineRule="auto"/>
        <w:rPr>
          <w:rFonts w:ascii="Helvetica" w:hAnsi="Helvetica" w:cs="Helvetica"/>
          <w:b/>
        </w:rPr>
      </w:pPr>
    </w:p>
    <w:p w:rsidR="00DB74D5" w:rsidRPr="00A17034" w:rsidRDefault="00042DEF" w:rsidP="00BB452C">
      <w:pPr>
        <w:pStyle w:val="ListParagraph"/>
        <w:numPr>
          <w:ilvl w:val="1"/>
          <w:numId w:val="1"/>
        </w:numPr>
        <w:spacing w:after="0" w:line="240" w:lineRule="auto"/>
        <w:ind w:left="454" w:hanging="454"/>
        <w:rPr>
          <w:rFonts w:ascii="Helvetica" w:hAnsi="Helvetica" w:cs="Helvetica"/>
          <w:b/>
        </w:rPr>
      </w:pPr>
      <w:r w:rsidRPr="00A17034">
        <w:rPr>
          <w:rFonts w:ascii="Helvetica" w:hAnsi="Helvetica" w:cs="Helvetica"/>
          <w:b/>
        </w:rPr>
        <w:t xml:space="preserve">Framework </w:t>
      </w:r>
    </w:p>
    <w:p w:rsidR="009E2F01" w:rsidRDefault="009E2F01" w:rsidP="00BB452C">
      <w:pPr>
        <w:spacing w:line="240" w:lineRule="auto"/>
        <w:jc w:val="both"/>
        <w:rPr>
          <w:rFonts w:ascii="Helvetica" w:hAnsi="Helvetica" w:cs="Helvetica"/>
        </w:rPr>
      </w:pPr>
    </w:p>
    <w:p w:rsidR="00DB74D5" w:rsidRPr="00A17034" w:rsidRDefault="001716FB" w:rsidP="00BB452C">
      <w:pPr>
        <w:spacing w:line="240" w:lineRule="auto"/>
        <w:jc w:val="both"/>
        <w:rPr>
          <w:rFonts w:ascii="Helvetica" w:hAnsi="Helvetica" w:cs="Helvetica"/>
        </w:rPr>
      </w:pPr>
      <w:r w:rsidRPr="00A17034">
        <w:rPr>
          <w:rFonts w:ascii="Helvetica" w:hAnsi="Helvetica" w:cs="Helvetica"/>
        </w:rPr>
        <w:t xml:space="preserve">From a theoretical perspective, this study is grounded in the concept of digital literacy as proposed by frameworks such as the European Commission’s DIGCOMP and the American Association of Colleges &amp; Research Libraries (ACRL). These frameworks position digital literacy as a multidimensional construct that includes information and data literacy, communication and collaboration, digital content creation, safety, and problem‐solving. Each dimension reflects a set of competencies that enable learners to navigate digital environments effectively and responsibly. </w:t>
      </w:r>
      <w:r w:rsidR="00DC6DFA" w:rsidRPr="00DC6DFA">
        <w:rPr>
          <w:rFonts w:ascii="Helvetica" w:hAnsi="Helvetica" w:cs="Helvetica"/>
        </w:rPr>
        <w:t xml:space="preserve">Nusantara </w:t>
      </w:r>
      <w:r w:rsidR="00DC6DFA">
        <w:rPr>
          <w:rFonts w:ascii="Helvetica" w:hAnsi="Helvetica" w:cs="Helvetica"/>
        </w:rPr>
        <w:t>et al. (2025) stated that, i</w:t>
      </w:r>
      <w:r w:rsidRPr="00A17034">
        <w:rPr>
          <w:rFonts w:ascii="Helvetica" w:hAnsi="Helvetica" w:cs="Helvetica"/>
        </w:rPr>
        <w:t xml:space="preserve">n the context of higher education, these competencies support essential academic behaviors, such as retrieving scholarly information, evaluating online sources, </w:t>
      </w:r>
      <w:r w:rsidRPr="00A17034">
        <w:rPr>
          <w:rFonts w:ascii="Helvetica" w:hAnsi="Helvetica" w:cs="Helvetica"/>
        </w:rPr>
        <w:lastRenderedPageBreak/>
        <w:t>participating in virtual discussions, and producing digital academic outputs. Thus, digital literacy is not limited to operational skills but</w:t>
      </w:r>
      <w:r w:rsidR="00A3209E">
        <w:rPr>
          <w:rFonts w:ascii="Helvetica" w:hAnsi="Helvetica" w:cs="Helvetica"/>
        </w:rPr>
        <w:t xml:space="preserve"> extends to cognitive and socio-</w:t>
      </w:r>
      <w:r w:rsidRPr="00A17034">
        <w:rPr>
          <w:rFonts w:ascii="Helvetica" w:hAnsi="Helvetica" w:cs="Helvetica"/>
        </w:rPr>
        <w:t>emotional capacities required for meaningful engagement with digital learning spaces.</w:t>
      </w:r>
    </w:p>
    <w:p w:rsidR="001716FB" w:rsidRPr="00A17034" w:rsidRDefault="00996117" w:rsidP="00BB452C">
      <w:pPr>
        <w:spacing w:line="240" w:lineRule="auto"/>
        <w:ind w:firstLine="340"/>
        <w:jc w:val="both"/>
        <w:rPr>
          <w:rFonts w:ascii="Helvetica" w:hAnsi="Helvetica" w:cs="Helvetica"/>
        </w:rPr>
      </w:pPr>
      <w:r w:rsidRPr="00A17034">
        <w:rPr>
          <w:rFonts w:ascii="Helvetica" w:hAnsi="Helvetica" w:cs="Helvetica"/>
        </w:rPr>
        <w:t>Building on this theoretical foundation, the present study adopts a conceptual framework that links digital literacy competencies to academic performance through their influence on students’ learning processes. Higher levels of digital literacy are expected to facilitate more efficient access to academic resources, enhance the ability to critically analyze information, and improve participation in technology-mediated learning activities. These advantages, in turn, are hypothesized to contribute to improved academic outcomes, typically measured through indicators such as GPA or course achievement. By integrating these constructs, the framework provides a structured lens for examining how variations in digital literacy contribute to differences in academic performance among university students. This framework also guides the selection of research variables, the design of measurement instruments, and the interpretation of findings within the broader discourse on technology-enhanced learning.</w:t>
      </w:r>
    </w:p>
    <w:p w:rsidR="001716FB" w:rsidRPr="00A17034" w:rsidRDefault="001716FB" w:rsidP="00BB452C">
      <w:pPr>
        <w:spacing w:line="240" w:lineRule="auto"/>
        <w:rPr>
          <w:rFonts w:ascii="Helvetica" w:hAnsi="Helvetica" w:cs="Helvetica"/>
        </w:rPr>
      </w:pPr>
    </w:p>
    <w:p w:rsidR="00DB74D5" w:rsidRPr="00A17034" w:rsidRDefault="00DB74D5" w:rsidP="00BB452C">
      <w:pPr>
        <w:pStyle w:val="ListParagraph"/>
        <w:numPr>
          <w:ilvl w:val="1"/>
          <w:numId w:val="1"/>
        </w:numPr>
        <w:spacing w:after="0" w:line="240" w:lineRule="auto"/>
        <w:ind w:left="454" w:hanging="454"/>
        <w:rPr>
          <w:rFonts w:ascii="Helvetica" w:hAnsi="Helvetica" w:cs="Helvetica"/>
          <w:b/>
        </w:rPr>
      </w:pPr>
      <w:r w:rsidRPr="00A17034">
        <w:rPr>
          <w:rFonts w:ascii="Helvetica" w:hAnsi="Helvetica" w:cs="Helvetica"/>
          <w:b/>
        </w:rPr>
        <w:t>Hypothesis</w:t>
      </w:r>
    </w:p>
    <w:p w:rsidR="009E2F01" w:rsidRDefault="009E2F01" w:rsidP="00BB452C">
      <w:pPr>
        <w:spacing w:line="240" w:lineRule="auto"/>
        <w:jc w:val="both"/>
        <w:rPr>
          <w:rFonts w:ascii="Helvetica" w:hAnsi="Helvetica" w:cs="Helvetica"/>
        </w:rPr>
      </w:pPr>
    </w:p>
    <w:p w:rsidR="00DB74D5" w:rsidRPr="00A17034" w:rsidRDefault="003B169B" w:rsidP="00BB452C">
      <w:pPr>
        <w:spacing w:line="240" w:lineRule="auto"/>
        <w:jc w:val="both"/>
        <w:rPr>
          <w:rFonts w:ascii="Helvetica" w:hAnsi="Helvetica" w:cs="Helvetica"/>
        </w:rPr>
      </w:pPr>
      <w:r w:rsidRPr="00A17034">
        <w:rPr>
          <w:rFonts w:ascii="Helvetica" w:hAnsi="Helvetica" w:cs="Helvetica"/>
        </w:rPr>
        <w:t xml:space="preserve">(H1) Digital literacy has a significant positive effect on students’ academic performance, (H2) Digital communication and collaboration significantly predict academic performance, </w:t>
      </w:r>
      <w:proofErr w:type="gramStart"/>
      <w:r w:rsidRPr="00A17034">
        <w:rPr>
          <w:rFonts w:ascii="Helvetica" w:hAnsi="Helvetica" w:cs="Helvetica"/>
        </w:rPr>
        <w:t>(</w:t>
      </w:r>
      <w:proofErr w:type="gramEnd"/>
      <w:r w:rsidRPr="00A17034">
        <w:rPr>
          <w:rFonts w:ascii="Helvetica" w:hAnsi="Helvetica" w:cs="Helvetica"/>
        </w:rPr>
        <w:t>H3) Digital content creation significantly predicts academic performance.</w:t>
      </w:r>
    </w:p>
    <w:p w:rsidR="00931F3A" w:rsidRPr="00A17034" w:rsidRDefault="00931F3A" w:rsidP="00BB452C">
      <w:pPr>
        <w:spacing w:line="240" w:lineRule="auto"/>
        <w:rPr>
          <w:rFonts w:ascii="Helvetica" w:hAnsi="Helvetica" w:cs="Helvetica"/>
        </w:rPr>
      </w:pPr>
    </w:p>
    <w:p w:rsidR="00042DEF" w:rsidRPr="00A17034" w:rsidRDefault="00042DEF" w:rsidP="00BB452C">
      <w:pPr>
        <w:pStyle w:val="ListParagraph"/>
        <w:numPr>
          <w:ilvl w:val="1"/>
          <w:numId w:val="1"/>
        </w:numPr>
        <w:spacing w:after="0" w:line="240" w:lineRule="auto"/>
        <w:ind w:left="454" w:hanging="454"/>
        <w:rPr>
          <w:rFonts w:ascii="Helvetica" w:hAnsi="Helvetica" w:cs="Helvetica"/>
          <w:b/>
        </w:rPr>
      </w:pPr>
      <w:r w:rsidRPr="00A17034">
        <w:rPr>
          <w:rFonts w:ascii="Helvetica" w:hAnsi="Helvetica" w:cs="Helvetica"/>
          <w:b/>
        </w:rPr>
        <w:t>Other</w:t>
      </w:r>
    </w:p>
    <w:p w:rsidR="009E2F01" w:rsidRDefault="009E2F01" w:rsidP="00BB452C">
      <w:pPr>
        <w:spacing w:line="240" w:lineRule="auto"/>
        <w:jc w:val="both"/>
        <w:rPr>
          <w:rFonts w:ascii="Helvetica" w:hAnsi="Helvetica" w:cs="Helvetica"/>
        </w:rPr>
      </w:pPr>
    </w:p>
    <w:p w:rsidR="00DB74D5" w:rsidRPr="00A17034" w:rsidRDefault="00664DAB" w:rsidP="00BB452C">
      <w:pPr>
        <w:spacing w:line="240" w:lineRule="auto"/>
        <w:jc w:val="both"/>
        <w:rPr>
          <w:rFonts w:ascii="Helvetica" w:hAnsi="Helvetica" w:cs="Helvetica"/>
        </w:rPr>
      </w:pPr>
      <w:r w:rsidRPr="00A17034">
        <w:rPr>
          <w:rFonts w:ascii="Helvetica" w:hAnsi="Helvetica" w:cs="Helvetica"/>
        </w:rPr>
        <w:t>Furthermore, each dimension of digital literacy—such as information literacy, digital communication, digital content creation, and digital safety—is presumed to contribute differently to academic achievement. Therefore, the central question addressed in this study is: to what extent does students’ digital literacy affect their academic performance, and which dimensions of digital literacy contribute most significantly to academic achievement</w:t>
      </w:r>
      <w:r w:rsidR="00215292">
        <w:rPr>
          <w:rFonts w:ascii="Helvetica" w:hAnsi="Helvetica" w:cs="Helvetica"/>
        </w:rPr>
        <w:t xml:space="preserve">. </w:t>
      </w:r>
      <w:r w:rsidR="00215292" w:rsidRPr="00A17034">
        <w:rPr>
          <w:rFonts w:ascii="Helvetica" w:hAnsi="Helvetica" w:cs="Helvetica"/>
        </w:rPr>
        <w:t xml:space="preserve">Furthermore, each dimension of digital literacy—such as information literacy, digital communication, digital content creation, and digital safety—is presumed to contribute differently to academic achievement. </w:t>
      </w:r>
    </w:p>
    <w:p w:rsidR="00042DEF" w:rsidRPr="00A17034" w:rsidRDefault="00042DEF" w:rsidP="00BB452C">
      <w:pPr>
        <w:spacing w:line="240" w:lineRule="auto"/>
        <w:rPr>
          <w:rFonts w:ascii="Helvetica" w:hAnsi="Helvetica" w:cs="Helvetica"/>
        </w:rPr>
      </w:pPr>
    </w:p>
    <w:p w:rsidR="00664DAB" w:rsidRPr="00A17034" w:rsidRDefault="00664DAB" w:rsidP="00BB452C">
      <w:pPr>
        <w:spacing w:line="240" w:lineRule="auto"/>
        <w:rPr>
          <w:rFonts w:ascii="Helvetica" w:hAnsi="Helvetica" w:cs="Helvetica"/>
        </w:rPr>
      </w:pPr>
    </w:p>
    <w:p w:rsidR="00BB452C" w:rsidRPr="00A17034" w:rsidRDefault="00BB452C" w:rsidP="00BB452C">
      <w:pPr>
        <w:spacing w:line="240" w:lineRule="auto"/>
        <w:rPr>
          <w:rFonts w:ascii="Helvetica" w:hAnsi="Helvetica" w:cs="Helvetica"/>
        </w:rPr>
      </w:pPr>
    </w:p>
    <w:p w:rsidR="00DB74D5" w:rsidRPr="00A17034" w:rsidRDefault="00DB74D5" w:rsidP="00BB452C">
      <w:pPr>
        <w:pStyle w:val="ListParagraph"/>
        <w:numPr>
          <w:ilvl w:val="0"/>
          <w:numId w:val="1"/>
        </w:numPr>
        <w:spacing w:after="0" w:line="240" w:lineRule="auto"/>
        <w:ind w:left="340" w:hanging="340"/>
        <w:rPr>
          <w:rFonts w:ascii="Helvetica" w:hAnsi="Helvetica" w:cs="Helvetica"/>
          <w:b/>
        </w:rPr>
      </w:pPr>
      <w:r w:rsidRPr="00A17034">
        <w:rPr>
          <w:rFonts w:ascii="Helvetica" w:hAnsi="Helvetica" w:cs="Helvetica"/>
          <w:b/>
        </w:rPr>
        <w:t>METHODS</w:t>
      </w:r>
    </w:p>
    <w:p w:rsidR="00DB74D5" w:rsidRPr="00A17034" w:rsidRDefault="00DB74D5" w:rsidP="00BB452C">
      <w:pPr>
        <w:spacing w:line="240" w:lineRule="auto"/>
        <w:rPr>
          <w:rFonts w:ascii="Helvetica" w:hAnsi="Helvetica" w:cs="Helvetica"/>
          <w:b/>
        </w:rPr>
      </w:pPr>
    </w:p>
    <w:p w:rsidR="00877126" w:rsidRDefault="009B145E" w:rsidP="00877126">
      <w:pPr>
        <w:spacing w:line="240" w:lineRule="auto"/>
        <w:jc w:val="both"/>
        <w:rPr>
          <w:rFonts w:ascii="Helvetica" w:hAnsi="Helvetica" w:cs="Helvetica"/>
        </w:rPr>
      </w:pPr>
      <w:r w:rsidRPr="009B145E">
        <w:rPr>
          <w:rFonts w:ascii="Helvetica" w:hAnsi="Helvetica" w:cs="Helvetica"/>
        </w:rPr>
        <w:t>The research methodology must be explained clearly. This section should describe, at a minimum, the research design employed and the rationale for selecting that design, the research subjects (including demographic information, if available), the research instruments and the reasons for their use, the data collection procedures undertaken, and the data analysis techniques applied to obtain the findings. These elements should be presented in a logical order and organized under appropriate subheadings</w:t>
      </w:r>
      <w:r w:rsidR="00877126" w:rsidRPr="00877126">
        <w:rPr>
          <w:rFonts w:ascii="Helvetica" w:hAnsi="Helvetica" w:cs="Helvetica"/>
        </w:rPr>
        <w:t>.</w:t>
      </w:r>
    </w:p>
    <w:p w:rsidR="00931F3A" w:rsidRPr="00A17034" w:rsidRDefault="00664DAB" w:rsidP="00877126">
      <w:pPr>
        <w:spacing w:line="240" w:lineRule="auto"/>
        <w:ind w:firstLine="340"/>
        <w:jc w:val="both"/>
        <w:rPr>
          <w:rFonts w:ascii="Helvetica" w:hAnsi="Helvetica" w:cs="Helvetica"/>
        </w:rPr>
      </w:pPr>
      <w:r w:rsidRPr="00A17034">
        <w:rPr>
          <w:rFonts w:ascii="Helvetica" w:hAnsi="Helvetica" w:cs="Helvetica"/>
        </w:rPr>
        <w:t xml:space="preserve">This study employed a quantitative research design using a correlational approach to examine the relationship between digital literacy and students’ academic performance. A total of 312 undergraduate students from five faculties at a public university participated in the study. Participants were selected using proportional stratified random sampling to ensure adequate representation across academic programs. </w:t>
      </w:r>
      <w:r w:rsidR="005E1F8F" w:rsidRPr="00A17034">
        <w:rPr>
          <w:rFonts w:ascii="Helvetica" w:hAnsi="Helvetica" w:cs="Helvetica"/>
        </w:rPr>
        <w:t xml:space="preserve">Participants were selected using proportional stratified random sampling to ensure adequate representation across academic programs. </w:t>
      </w:r>
      <w:r w:rsidRPr="00A17034">
        <w:rPr>
          <w:rFonts w:ascii="Helvetica" w:hAnsi="Helvetica" w:cs="Helvetica"/>
        </w:rPr>
        <w:t>Data collection was conducted through an online survey consisting of a validated digital literacy questionnaire adapted from established frameworks, including DIGCOMP and ACRL.</w:t>
      </w:r>
    </w:p>
    <w:p w:rsidR="00931F3A" w:rsidRPr="00A17034" w:rsidRDefault="00931F3A" w:rsidP="00BB452C">
      <w:pPr>
        <w:spacing w:line="240" w:lineRule="auto"/>
        <w:jc w:val="both"/>
        <w:rPr>
          <w:rFonts w:ascii="Helvetica" w:hAnsi="Helvetica" w:cs="Helvetica"/>
        </w:rPr>
      </w:pPr>
    </w:p>
    <w:p w:rsidR="00BB452C" w:rsidRPr="00A17034" w:rsidRDefault="00042DEF" w:rsidP="00BB452C">
      <w:pPr>
        <w:pStyle w:val="ListParagraph"/>
        <w:numPr>
          <w:ilvl w:val="1"/>
          <w:numId w:val="1"/>
        </w:numPr>
        <w:spacing w:after="0" w:line="240" w:lineRule="auto"/>
        <w:ind w:left="454" w:hanging="454"/>
        <w:rPr>
          <w:rFonts w:ascii="Helvetica" w:hAnsi="Helvetica" w:cs="Helvetica"/>
          <w:b/>
        </w:rPr>
      </w:pPr>
      <w:r w:rsidRPr="00A17034">
        <w:rPr>
          <w:rFonts w:ascii="Helvetica" w:hAnsi="Helvetica" w:cs="Helvetica"/>
          <w:b/>
        </w:rPr>
        <w:lastRenderedPageBreak/>
        <w:t>Research design</w:t>
      </w:r>
    </w:p>
    <w:p w:rsidR="009E2F01" w:rsidRDefault="009E2F01" w:rsidP="00BB452C">
      <w:pPr>
        <w:spacing w:line="240" w:lineRule="auto"/>
        <w:jc w:val="both"/>
        <w:rPr>
          <w:rFonts w:ascii="Helvetica" w:hAnsi="Helvetica" w:cs="Helvetica"/>
        </w:rPr>
      </w:pPr>
    </w:p>
    <w:p w:rsidR="00042DEF" w:rsidRPr="00A17034" w:rsidRDefault="00BB452C" w:rsidP="00BB452C">
      <w:pPr>
        <w:spacing w:line="240" w:lineRule="auto"/>
        <w:jc w:val="both"/>
        <w:rPr>
          <w:rFonts w:ascii="Helvetica" w:hAnsi="Helvetica" w:cs="Helvetica"/>
        </w:rPr>
      </w:pPr>
      <w:r w:rsidRPr="00A17034">
        <w:rPr>
          <w:rFonts w:ascii="Helvetica" w:hAnsi="Helvetica" w:cs="Helvetica"/>
        </w:rPr>
        <w:t>The rapid advancement of digital technologies requires university students to possess adequate digital literacy skills in order to successfully engage with contemporary learning environments. However, students’ digital literacy levels often vary widely, and there is a lack of comprehensive studies explaining the extent to which these variations influence their academic performance.</w:t>
      </w:r>
    </w:p>
    <w:p w:rsidR="00BB452C" w:rsidRPr="00A17034" w:rsidRDefault="00BB452C" w:rsidP="00BB452C">
      <w:pPr>
        <w:spacing w:line="240" w:lineRule="auto"/>
        <w:ind w:firstLine="340"/>
        <w:jc w:val="both"/>
        <w:rPr>
          <w:rFonts w:ascii="Helvetica" w:hAnsi="Helvetica" w:cs="Helvetica"/>
        </w:rPr>
      </w:pPr>
      <w:r w:rsidRPr="00A17034">
        <w:rPr>
          <w:rFonts w:ascii="Helvetica" w:hAnsi="Helvetica" w:cs="Helvetica"/>
        </w:rPr>
        <w:t>Building on this theoretical foundation, the present study adopts a conceptual framework that links digital literacy competencies to academic performance through their influence on students’ learning processes. Higher levels of digital literacy are expected to facilitate more efficient access to academic resources, enhance the ability to critically analyze information, and improve participation in technology-mediated learning activities</w:t>
      </w:r>
      <w:r w:rsidR="00A3209E">
        <w:rPr>
          <w:rFonts w:ascii="Helvetica" w:hAnsi="Helvetica" w:cs="Helvetica"/>
        </w:rPr>
        <w:t xml:space="preserve"> (</w:t>
      </w:r>
      <w:r w:rsidR="00A3209E" w:rsidRPr="00A3209E">
        <w:rPr>
          <w:rFonts w:ascii="Helvetica" w:hAnsi="Helvetica" w:cs="Helvetica"/>
        </w:rPr>
        <w:t>Sainuddin</w:t>
      </w:r>
      <w:r w:rsidR="00A3209E">
        <w:rPr>
          <w:rFonts w:ascii="Helvetica" w:hAnsi="Helvetica" w:cs="Helvetica"/>
        </w:rPr>
        <w:t xml:space="preserve"> et al.</w:t>
      </w:r>
      <w:r w:rsidR="00A3209E" w:rsidRPr="00A3209E">
        <w:rPr>
          <w:rFonts w:ascii="Helvetica" w:hAnsi="Helvetica" w:cs="Helvetica"/>
        </w:rPr>
        <w:t>,</w:t>
      </w:r>
      <w:r w:rsidR="00A3209E">
        <w:rPr>
          <w:rFonts w:ascii="Helvetica" w:hAnsi="Helvetica" w:cs="Helvetica"/>
        </w:rPr>
        <w:t xml:space="preserve"> </w:t>
      </w:r>
      <w:r w:rsidR="00A3209E" w:rsidRPr="00A3209E">
        <w:rPr>
          <w:rFonts w:ascii="Helvetica" w:hAnsi="Helvetica" w:cs="Helvetica"/>
        </w:rPr>
        <w:t>2022</w:t>
      </w:r>
      <w:r w:rsidR="00A3209E">
        <w:rPr>
          <w:rFonts w:ascii="Helvetica" w:hAnsi="Helvetica" w:cs="Helvetica"/>
        </w:rPr>
        <w:t>)</w:t>
      </w:r>
      <w:r w:rsidRPr="00A17034">
        <w:rPr>
          <w:rFonts w:ascii="Helvetica" w:hAnsi="Helvetica" w:cs="Helvetica"/>
        </w:rPr>
        <w:t>. These advantages, in turn, are hypothesized to contribute to improved academic outcomes, typically measured through indicators such as GPA or course achievement.</w:t>
      </w:r>
    </w:p>
    <w:p w:rsidR="00BB452C" w:rsidRPr="00A17034" w:rsidRDefault="00BB452C" w:rsidP="00BB452C">
      <w:pPr>
        <w:spacing w:line="240" w:lineRule="auto"/>
        <w:ind w:firstLine="340"/>
        <w:jc w:val="both"/>
        <w:rPr>
          <w:rFonts w:ascii="Helvetica" w:hAnsi="Helvetica" w:cs="Helvetica"/>
        </w:rPr>
      </w:pPr>
    </w:p>
    <w:p w:rsidR="00BB452C" w:rsidRPr="00A17034" w:rsidRDefault="00BB452C" w:rsidP="00BB452C">
      <w:pPr>
        <w:pStyle w:val="ListParagraph"/>
        <w:numPr>
          <w:ilvl w:val="1"/>
          <w:numId w:val="1"/>
        </w:numPr>
        <w:spacing w:after="0" w:line="240" w:lineRule="auto"/>
        <w:ind w:left="454" w:hanging="454"/>
        <w:rPr>
          <w:rFonts w:ascii="Helvetica" w:hAnsi="Helvetica" w:cs="Helvetica"/>
          <w:b/>
        </w:rPr>
      </w:pPr>
      <w:r w:rsidRPr="00A17034">
        <w:rPr>
          <w:rFonts w:ascii="Helvetica" w:hAnsi="Helvetica" w:cs="Helvetica"/>
          <w:b/>
        </w:rPr>
        <w:t>Participants</w:t>
      </w:r>
    </w:p>
    <w:p w:rsidR="009E2F01" w:rsidRDefault="009E2F01" w:rsidP="009F2013">
      <w:pPr>
        <w:spacing w:line="240" w:lineRule="auto"/>
        <w:jc w:val="both"/>
        <w:rPr>
          <w:rFonts w:ascii="Helvetica" w:hAnsi="Helvetica" w:cs="Helvetica"/>
        </w:rPr>
      </w:pPr>
    </w:p>
    <w:p w:rsidR="009F2013" w:rsidRPr="00A17034" w:rsidRDefault="009F2013" w:rsidP="009F2013">
      <w:pPr>
        <w:spacing w:line="240" w:lineRule="auto"/>
        <w:jc w:val="both"/>
        <w:rPr>
          <w:rFonts w:ascii="Helvetica" w:hAnsi="Helvetica" w:cs="Helvetica"/>
        </w:rPr>
      </w:pPr>
      <w:r w:rsidRPr="00A17034">
        <w:rPr>
          <w:rFonts w:ascii="Helvetica" w:hAnsi="Helvetica" w:cs="Helvetica"/>
        </w:rPr>
        <w:t xml:space="preserve">The participants in this study were students enrolled in junior secondary schools located in the selected research district. A total of </w:t>
      </w:r>
      <w:r w:rsidR="00FB179F" w:rsidRPr="00A17034">
        <w:rPr>
          <w:rFonts w:ascii="Helvetica" w:hAnsi="Helvetica" w:cs="Helvetica"/>
        </w:rPr>
        <w:t>157</w:t>
      </w:r>
      <w:r w:rsidRPr="00A17034">
        <w:rPr>
          <w:rFonts w:ascii="Helvetica" w:hAnsi="Helvetica" w:cs="Helvetica"/>
        </w:rPr>
        <w:t xml:space="preserve"> students (</w:t>
      </w:r>
      <w:r w:rsidR="00FB179F" w:rsidRPr="00A17034">
        <w:rPr>
          <w:rFonts w:ascii="Helvetica" w:hAnsi="Helvetica" w:cs="Helvetica"/>
        </w:rPr>
        <w:t>150</w:t>
      </w:r>
      <w:r w:rsidRPr="00A17034">
        <w:rPr>
          <w:rFonts w:ascii="Helvetica" w:hAnsi="Helvetica" w:cs="Helvetica"/>
        </w:rPr>
        <w:t xml:space="preserve"> males and </w:t>
      </w:r>
      <w:r w:rsidR="00FB179F" w:rsidRPr="00A17034">
        <w:rPr>
          <w:rFonts w:ascii="Helvetica" w:hAnsi="Helvetica" w:cs="Helvetica"/>
        </w:rPr>
        <w:t>7</w:t>
      </w:r>
      <w:r w:rsidRPr="00A17034">
        <w:rPr>
          <w:rFonts w:ascii="Helvetica" w:hAnsi="Helvetica" w:cs="Helvetica"/>
        </w:rPr>
        <w:t xml:space="preserve"> females), aged between </w:t>
      </w:r>
      <w:r w:rsidR="00FB179F" w:rsidRPr="00A17034">
        <w:rPr>
          <w:rFonts w:ascii="Helvetica" w:hAnsi="Helvetica" w:cs="Helvetica"/>
        </w:rPr>
        <w:t>16</w:t>
      </w:r>
      <w:r w:rsidRPr="00A17034">
        <w:rPr>
          <w:rFonts w:ascii="Helvetica" w:hAnsi="Helvetica" w:cs="Helvetica"/>
        </w:rPr>
        <w:t xml:space="preserve"> and </w:t>
      </w:r>
      <w:r w:rsidR="00FB179F" w:rsidRPr="00A17034">
        <w:rPr>
          <w:rFonts w:ascii="Helvetica" w:hAnsi="Helvetica" w:cs="Helvetica"/>
        </w:rPr>
        <w:t>18</w:t>
      </w:r>
      <w:r w:rsidRPr="00A17034">
        <w:rPr>
          <w:rFonts w:ascii="Helvetica" w:hAnsi="Helvetica" w:cs="Helvetica"/>
        </w:rPr>
        <w:t xml:space="preserve"> years, participated voluntarily. The schools were chosen through purposive sampling to ensure representation of diverse cultural backgrounds and learning environments relevant to the study.</w:t>
      </w:r>
    </w:p>
    <w:p w:rsidR="009F2013" w:rsidRPr="00A17034" w:rsidRDefault="009F2013" w:rsidP="009F2013">
      <w:pPr>
        <w:spacing w:line="240" w:lineRule="auto"/>
        <w:ind w:firstLine="340"/>
        <w:jc w:val="both"/>
        <w:rPr>
          <w:rFonts w:ascii="Helvetica" w:hAnsi="Helvetica" w:cs="Helvetica"/>
        </w:rPr>
      </w:pPr>
      <w:r w:rsidRPr="00A17034">
        <w:rPr>
          <w:rFonts w:ascii="Helvetica" w:hAnsi="Helvetica" w:cs="Helvetica"/>
        </w:rPr>
        <w:t>All participants had been exposed to the same core mathematics curriculum, allowing for a comparable assessment of their mathematical thinking skills. To capture the influence of cultural practices, the sample included students from communities with distinct cultural traditions, learning habits, and family norms related to education and problem-solving.</w:t>
      </w:r>
    </w:p>
    <w:p w:rsidR="0029243A" w:rsidRPr="00A17034" w:rsidRDefault="009F2013" w:rsidP="009F2013">
      <w:pPr>
        <w:spacing w:line="240" w:lineRule="auto"/>
        <w:ind w:firstLine="340"/>
        <w:jc w:val="both"/>
        <w:rPr>
          <w:rFonts w:ascii="Helvetica" w:hAnsi="Helvetica" w:cs="Helvetica"/>
        </w:rPr>
      </w:pPr>
      <w:r w:rsidRPr="00A17034">
        <w:rPr>
          <w:rFonts w:ascii="Helvetica" w:hAnsi="Helvetica" w:cs="Helvetica"/>
        </w:rPr>
        <w:t>Prior to data collection, informed consent was obtained from school administrators, teachers, and students. Participation was anonymous, and no personally identifiable information was collected. The final sample size was adequate to ensure statistical reliability and to support meaningful analysis of the relationship between mathematical thinking, cultural practices, and student performance.</w:t>
      </w:r>
    </w:p>
    <w:p w:rsidR="0029243A" w:rsidRPr="00A17034" w:rsidRDefault="0029243A" w:rsidP="0029243A">
      <w:pPr>
        <w:spacing w:line="240" w:lineRule="auto"/>
        <w:rPr>
          <w:rFonts w:ascii="Helvetica" w:hAnsi="Helvetica" w:cs="Helvetica"/>
        </w:rPr>
      </w:pPr>
    </w:p>
    <w:p w:rsidR="00BB452C" w:rsidRPr="00A17034" w:rsidRDefault="00BB452C" w:rsidP="00BB452C">
      <w:pPr>
        <w:pStyle w:val="ListParagraph"/>
        <w:numPr>
          <w:ilvl w:val="1"/>
          <w:numId w:val="1"/>
        </w:numPr>
        <w:spacing w:after="0" w:line="240" w:lineRule="auto"/>
        <w:ind w:left="454" w:hanging="454"/>
        <w:rPr>
          <w:rFonts w:ascii="Helvetica" w:hAnsi="Helvetica" w:cs="Helvetica"/>
          <w:b/>
        </w:rPr>
      </w:pPr>
      <w:r w:rsidRPr="00A17034">
        <w:rPr>
          <w:rFonts w:ascii="Helvetica" w:hAnsi="Helvetica" w:cs="Helvetica"/>
          <w:b/>
        </w:rPr>
        <w:t>Data collection</w:t>
      </w:r>
    </w:p>
    <w:p w:rsidR="009E2F01" w:rsidRDefault="009E2F01" w:rsidP="00FB179F">
      <w:pPr>
        <w:spacing w:line="240" w:lineRule="auto"/>
        <w:jc w:val="both"/>
        <w:rPr>
          <w:rFonts w:ascii="Helvetica" w:hAnsi="Helvetica" w:cs="Helvetica"/>
        </w:rPr>
      </w:pPr>
    </w:p>
    <w:p w:rsidR="00FB179F" w:rsidRPr="00A17034" w:rsidRDefault="00FB179F" w:rsidP="00FB179F">
      <w:pPr>
        <w:spacing w:line="240" w:lineRule="auto"/>
        <w:jc w:val="both"/>
        <w:rPr>
          <w:rFonts w:ascii="Helvetica" w:hAnsi="Helvetica" w:cs="Helvetica"/>
        </w:rPr>
      </w:pPr>
      <w:r w:rsidRPr="00A17034">
        <w:rPr>
          <w:rFonts w:ascii="Helvetica" w:hAnsi="Helvetica" w:cs="Helvetica"/>
        </w:rPr>
        <w:t xml:space="preserve">Data for this study were collected through a combination of standardized tests, structured questionnaires, and classroom observations. The primary data source was a mathematical thinking assessment administered to students during regular class hours under the supervision of the researchers and classroom teachers. This assessment measured key components of mathematical thinking, including reasoning, problem-solving, pattern recognition, and the ability to generalize mathematical concepts. </w:t>
      </w:r>
      <w:r w:rsidR="00E54222" w:rsidRPr="00E54222">
        <w:rPr>
          <w:rFonts w:ascii="Helvetica" w:hAnsi="Helvetica" w:cs="Helvetica"/>
        </w:rPr>
        <w:t>Gustiningsi</w:t>
      </w:r>
      <w:r w:rsidR="00E54222">
        <w:rPr>
          <w:rFonts w:ascii="Helvetica" w:hAnsi="Helvetica" w:cs="Helvetica"/>
        </w:rPr>
        <w:t xml:space="preserve"> and</w:t>
      </w:r>
      <w:r w:rsidR="00E54222" w:rsidRPr="00E54222">
        <w:rPr>
          <w:rFonts w:ascii="Helvetica" w:hAnsi="Helvetica" w:cs="Helvetica"/>
        </w:rPr>
        <w:t xml:space="preserve"> Putri</w:t>
      </w:r>
      <w:r w:rsidR="00E54222">
        <w:rPr>
          <w:rFonts w:ascii="Helvetica" w:hAnsi="Helvetica" w:cs="Helvetica"/>
        </w:rPr>
        <w:t xml:space="preserve"> </w:t>
      </w:r>
      <w:r w:rsidR="00E54222" w:rsidRPr="00E54222">
        <w:rPr>
          <w:rFonts w:ascii="Helvetica" w:hAnsi="Helvetica" w:cs="Helvetica"/>
        </w:rPr>
        <w:t>(2024</w:t>
      </w:r>
      <w:r w:rsidR="00E54222">
        <w:rPr>
          <w:rFonts w:ascii="Helvetica" w:hAnsi="Helvetica" w:cs="Helvetica"/>
        </w:rPr>
        <w:t>) stated that s</w:t>
      </w:r>
      <w:r w:rsidRPr="00A17034">
        <w:rPr>
          <w:rFonts w:ascii="Helvetica" w:hAnsi="Helvetica" w:cs="Helvetica"/>
        </w:rPr>
        <w:t>tudents’ academic performance was obtained from official school records, specifically their mathematics test scores for the current semester.</w:t>
      </w:r>
    </w:p>
    <w:p w:rsidR="00FB179F" w:rsidRPr="00A17034" w:rsidRDefault="00FB179F" w:rsidP="00FB179F">
      <w:pPr>
        <w:spacing w:line="240" w:lineRule="auto"/>
        <w:ind w:firstLine="340"/>
        <w:jc w:val="both"/>
        <w:rPr>
          <w:rFonts w:ascii="Helvetica" w:hAnsi="Helvetica" w:cs="Helvetica"/>
        </w:rPr>
      </w:pPr>
      <w:r w:rsidRPr="00A17034">
        <w:rPr>
          <w:rFonts w:ascii="Helvetica" w:hAnsi="Helvetica" w:cs="Helvetica"/>
        </w:rPr>
        <w:t>To investigate cultural practices influencing learning, a culturally oriented questionnaire was distributed to the same group of students</w:t>
      </w:r>
      <w:r w:rsidR="00A3209E">
        <w:rPr>
          <w:rFonts w:ascii="Helvetica" w:hAnsi="Helvetica" w:cs="Helvetica"/>
        </w:rPr>
        <w:t xml:space="preserve"> (</w:t>
      </w:r>
      <w:r w:rsidR="00A3209E" w:rsidRPr="00A3209E">
        <w:rPr>
          <w:rFonts w:ascii="Helvetica" w:hAnsi="Helvetica" w:cs="Helvetica"/>
        </w:rPr>
        <w:t>Rohati</w:t>
      </w:r>
      <w:r w:rsidR="00A3209E">
        <w:rPr>
          <w:rFonts w:ascii="Helvetica" w:hAnsi="Helvetica" w:cs="Helvetica"/>
        </w:rPr>
        <w:t xml:space="preserve"> et al.</w:t>
      </w:r>
      <w:r w:rsidR="00A3209E" w:rsidRPr="00A3209E">
        <w:rPr>
          <w:rFonts w:ascii="Helvetica" w:hAnsi="Helvetica" w:cs="Helvetica"/>
        </w:rPr>
        <w:t>,</w:t>
      </w:r>
      <w:r w:rsidR="00A3209E">
        <w:rPr>
          <w:rFonts w:ascii="Helvetica" w:hAnsi="Helvetica" w:cs="Helvetica"/>
        </w:rPr>
        <w:t xml:space="preserve"> </w:t>
      </w:r>
      <w:r w:rsidR="00A3209E" w:rsidRPr="00A3209E">
        <w:rPr>
          <w:rFonts w:ascii="Helvetica" w:hAnsi="Helvetica" w:cs="Helvetica"/>
        </w:rPr>
        <w:t>2023</w:t>
      </w:r>
      <w:r w:rsidR="00922665">
        <w:rPr>
          <w:rFonts w:ascii="Helvetica" w:hAnsi="Helvetica" w:cs="Helvetica"/>
        </w:rPr>
        <w:t xml:space="preserve">; </w:t>
      </w:r>
      <w:r w:rsidR="00922665" w:rsidRPr="00922665">
        <w:rPr>
          <w:rFonts w:ascii="Helvetica" w:hAnsi="Helvetica" w:cs="Helvetica"/>
        </w:rPr>
        <w:t>Nusantara</w:t>
      </w:r>
      <w:r w:rsidR="00922665">
        <w:rPr>
          <w:rFonts w:ascii="Helvetica" w:hAnsi="Helvetica" w:cs="Helvetica"/>
        </w:rPr>
        <w:t xml:space="preserve"> et al., 2025</w:t>
      </w:r>
      <w:r w:rsidR="00A3209E">
        <w:rPr>
          <w:rFonts w:ascii="Helvetica" w:hAnsi="Helvetica" w:cs="Helvetica"/>
        </w:rPr>
        <w:t>)</w:t>
      </w:r>
      <w:r w:rsidRPr="00A17034">
        <w:rPr>
          <w:rFonts w:ascii="Helvetica" w:hAnsi="Helvetica" w:cs="Helvetica"/>
        </w:rPr>
        <w:t>. The questionnaire consisted of items related to daily learning habits, family cultural traditions, language use at home, community engagement, and attitudes toward mathematics shaped by local cultural norms. All questionnaire items were validated by experts in mathematics education and cultural studies to ensure content relevance and clarity.</w:t>
      </w:r>
    </w:p>
    <w:p w:rsidR="00FB179F" w:rsidRPr="00A17034" w:rsidRDefault="00FB179F" w:rsidP="00FB179F">
      <w:pPr>
        <w:spacing w:line="240" w:lineRule="auto"/>
        <w:ind w:firstLine="340"/>
        <w:jc w:val="both"/>
        <w:rPr>
          <w:rFonts w:ascii="Helvetica" w:hAnsi="Helvetica" w:cs="Helvetica"/>
        </w:rPr>
      </w:pPr>
      <w:r w:rsidRPr="00A17034">
        <w:rPr>
          <w:rFonts w:ascii="Helvetica" w:hAnsi="Helvetica" w:cs="Helvetica"/>
        </w:rPr>
        <w:lastRenderedPageBreak/>
        <w:t>In addition, classroom observations were conducted to capture how cultural practices and mathematical thinking were manifested in students’ learning behaviors. Observations focused on students’ participation, communication styles, and problem-solving approaches during mathematics lessons</w:t>
      </w:r>
      <w:r w:rsidR="00E54222">
        <w:rPr>
          <w:rFonts w:ascii="Helvetica" w:hAnsi="Helvetica" w:cs="Helvetica"/>
        </w:rPr>
        <w:t xml:space="preserve"> (</w:t>
      </w:r>
      <w:r w:rsidR="00E54222" w:rsidRPr="00E54222">
        <w:rPr>
          <w:rFonts w:ascii="Helvetica" w:hAnsi="Helvetica" w:cs="Helvetica"/>
        </w:rPr>
        <w:t>Rohati</w:t>
      </w:r>
      <w:r w:rsidR="00E54222">
        <w:rPr>
          <w:rFonts w:ascii="Helvetica" w:hAnsi="Helvetica" w:cs="Helvetica"/>
        </w:rPr>
        <w:t xml:space="preserve"> et al., 2025)</w:t>
      </w:r>
      <w:r w:rsidRPr="00A17034">
        <w:rPr>
          <w:rFonts w:ascii="Helvetica" w:hAnsi="Helvetica" w:cs="Helvetica"/>
        </w:rPr>
        <w:t>. Field notes were recorded using a structured observation sheet.</w:t>
      </w:r>
      <w:r w:rsidR="00C93334" w:rsidRPr="00A17034">
        <w:rPr>
          <w:rFonts w:ascii="Helvetica" w:hAnsi="Helvetica" w:cs="Helvetica"/>
        </w:rPr>
        <w:t xml:space="preserve"> </w:t>
      </w:r>
      <w:r w:rsidRPr="00A17034">
        <w:rPr>
          <w:rFonts w:ascii="Helvetica" w:hAnsi="Helvetica" w:cs="Helvetica"/>
        </w:rPr>
        <w:t>All data were collected within a four-week period and involved the same cohort of participants to maintain consistency</w:t>
      </w:r>
      <w:r w:rsidR="00E54222">
        <w:rPr>
          <w:rFonts w:ascii="Helvetica" w:hAnsi="Helvetica" w:cs="Helvetica"/>
        </w:rPr>
        <w:t xml:space="preserve"> (</w:t>
      </w:r>
      <w:r w:rsidR="00E54222" w:rsidRPr="00E54222">
        <w:rPr>
          <w:rFonts w:ascii="Helvetica" w:hAnsi="Helvetica" w:cs="Helvetica"/>
        </w:rPr>
        <w:t>Alghadari</w:t>
      </w:r>
      <w:r w:rsidR="00E54222">
        <w:rPr>
          <w:rFonts w:ascii="Helvetica" w:hAnsi="Helvetica" w:cs="Helvetica"/>
        </w:rPr>
        <w:t xml:space="preserve"> et al., 2025)</w:t>
      </w:r>
      <w:r w:rsidRPr="00A17034">
        <w:rPr>
          <w:rFonts w:ascii="Helvetica" w:hAnsi="Helvetica" w:cs="Helvetica"/>
        </w:rPr>
        <w:t>. Prior to data collection, informed consent was obtained from school administrators, teachers, and students. The use of multiple data sources allowed for triangulation to strengthen the validity and reliability of the findings.</w:t>
      </w:r>
    </w:p>
    <w:p w:rsidR="00FB179F" w:rsidRPr="00A17034" w:rsidRDefault="00FB179F" w:rsidP="00FB179F">
      <w:pPr>
        <w:spacing w:line="240" w:lineRule="auto"/>
        <w:rPr>
          <w:rFonts w:ascii="Helvetica" w:hAnsi="Helvetica" w:cs="Helvetica"/>
        </w:rPr>
      </w:pPr>
    </w:p>
    <w:p w:rsidR="00BB452C" w:rsidRPr="00A17034" w:rsidRDefault="00BB452C" w:rsidP="00BB452C">
      <w:pPr>
        <w:pStyle w:val="ListParagraph"/>
        <w:numPr>
          <w:ilvl w:val="1"/>
          <w:numId w:val="1"/>
        </w:numPr>
        <w:spacing w:after="0" w:line="240" w:lineRule="auto"/>
        <w:ind w:left="454" w:hanging="454"/>
        <w:rPr>
          <w:rFonts w:ascii="Helvetica" w:hAnsi="Helvetica" w:cs="Helvetica"/>
          <w:b/>
        </w:rPr>
      </w:pPr>
      <w:r w:rsidRPr="00A17034">
        <w:rPr>
          <w:rFonts w:ascii="Helvetica" w:hAnsi="Helvetica" w:cs="Helvetica"/>
          <w:b/>
        </w:rPr>
        <w:t>Data analysis</w:t>
      </w:r>
    </w:p>
    <w:p w:rsidR="009E2F01" w:rsidRDefault="009E2F01" w:rsidP="00291D24">
      <w:pPr>
        <w:spacing w:line="240" w:lineRule="auto"/>
        <w:jc w:val="both"/>
        <w:rPr>
          <w:rFonts w:ascii="Helvetica" w:hAnsi="Helvetica" w:cs="Helvetica"/>
        </w:rPr>
      </w:pPr>
    </w:p>
    <w:p w:rsidR="00291D24" w:rsidRPr="00A17034" w:rsidRDefault="00291D24" w:rsidP="00291D24">
      <w:pPr>
        <w:spacing w:line="240" w:lineRule="auto"/>
        <w:jc w:val="both"/>
        <w:rPr>
          <w:rFonts w:ascii="Helvetica" w:hAnsi="Helvetica" w:cs="Helvetica"/>
        </w:rPr>
      </w:pPr>
      <w:r w:rsidRPr="00A17034">
        <w:rPr>
          <w:rFonts w:ascii="Helvetica" w:hAnsi="Helvetica" w:cs="Helvetica"/>
        </w:rPr>
        <w:t>The data obtained from the questionnaires, performance tests, and interview protocols were analyzed using both quantitative and qualitative approaches. Quantitative analysis was conducted to examine the relationships between students’ mathematical thinking, cultural practices, and their performance outcomes. Prior to analysis, all data were screened for completeness, outliers, and normality to ensure statistical validity.</w:t>
      </w:r>
    </w:p>
    <w:p w:rsidR="00BB452C" w:rsidRPr="00A17034" w:rsidRDefault="00291D24" w:rsidP="00291D24">
      <w:pPr>
        <w:spacing w:line="240" w:lineRule="auto"/>
        <w:ind w:firstLine="340"/>
        <w:jc w:val="both"/>
        <w:rPr>
          <w:rFonts w:ascii="Helvetica" w:hAnsi="Helvetica" w:cs="Helvetica"/>
        </w:rPr>
      </w:pPr>
      <w:r w:rsidRPr="00A17034">
        <w:rPr>
          <w:rFonts w:ascii="Helvetica" w:hAnsi="Helvetica" w:cs="Helvetica"/>
        </w:rPr>
        <w:t>Descriptive statistics (means, standard deviations, and frequency distributions) were first computed to provide an overview of students’ levels of mathematical thinking and the extent of their engagement in relevant cultural practices. To test the impact of these variables on students’ performance, inferential statistical procedures were employed. Pearson correlation analysis was used to identify the strength and direction of relationships among variables. Multiple regression analysis was then performed to determine the predictive power of mathematical thinking and cultural practices on students’ academic achievement in mathematics. In addition to the quantitative analysis, qualitative data from interviews were coded thematically to gain deeper insights into how cultural practices influence students’ ways of thinking and problem-solving strategies. This triangulated approach allowed for the integration of numerical findings with students’ lived experiences, providing a more comprehensive interpretation of the results. All analyses were conducted using standard statistical software, and the significance level was set at α=0.05. The combination of quantitative and qualitative procedures strengthened the reliability and depth of the findings related to the impact of mathematical thinking and cultural factors on students’ performance.</w:t>
      </w:r>
    </w:p>
    <w:p w:rsidR="00BB452C" w:rsidRPr="00A17034" w:rsidRDefault="00BB452C" w:rsidP="00BB452C">
      <w:pPr>
        <w:spacing w:line="240" w:lineRule="auto"/>
        <w:ind w:firstLine="340"/>
        <w:jc w:val="both"/>
        <w:rPr>
          <w:rFonts w:ascii="Helvetica" w:hAnsi="Helvetica" w:cs="Helvetica"/>
        </w:rPr>
      </w:pPr>
    </w:p>
    <w:p w:rsidR="00BB452C" w:rsidRPr="00A17034" w:rsidRDefault="00BB452C" w:rsidP="00BB452C">
      <w:pPr>
        <w:spacing w:line="240" w:lineRule="auto"/>
        <w:ind w:firstLine="340"/>
        <w:jc w:val="both"/>
        <w:rPr>
          <w:rFonts w:ascii="Helvetica" w:hAnsi="Helvetica" w:cs="Helvetica"/>
        </w:rPr>
      </w:pPr>
    </w:p>
    <w:p w:rsidR="00DB74D5" w:rsidRPr="00A17034" w:rsidRDefault="00DB74D5" w:rsidP="00BB452C">
      <w:pPr>
        <w:spacing w:line="240" w:lineRule="auto"/>
        <w:rPr>
          <w:rFonts w:ascii="Helvetica" w:hAnsi="Helvetica" w:cs="Helvetica"/>
        </w:rPr>
      </w:pPr>
    </w:p>
    <w:p w:rsidR="00DB74D5" w:rsidRPr="00A17034" w:rsidRDefault="00DB74D5" w:rsidP="00BB452C">
      <w:pPr>
        <w:pStyle w:val="ListParagraph"/>
        <w:numPr>
          <w:ilvl w:val="0"/>
          <w:numId w:val="1"/>
        </w:numPr>
        <w:spacing w:after="0" w:line="240" w:lineRule="auto"/>
        <w:ind w:left="340" w:hanging="340"/>
        <w:rPr>
          <w:rFonts w:ascii="Helvetica" w:hAnsi="Helvetica" w:cs="Helvetica"/>
          <w:b/>
        </w:rPr>
      </w:pPr>
      <w:r w:rsidRPr="00A17034">
        <w:rPr>
          <w:rFonts w:ascii="Helvetica" w:hAnsi="Helvetica" w:cs="Helvetica"/>
          <w:b/>
        </w:rPr>
        <w:t>RESULTS</w:t>
      </w:r>
    </w:p>
    <w:p w:rsidR="00DB74D5" w:rsidRPr="00A17034" w:rsidRDefault="00DB74D5" w:rsidP="00BB452C">
      <w:pPr>
        <w:spacing w:line="240" w:lineRule="auto"/>
        <w:rPr>
          <w:rFonts w:ascii="Helvetica" w:hAnsi="Helvetica" w:cs="Helvetica"/>
          <w:b/>
        </w:rPr>
      </w:pPr>
    </w:p>
    <w:p w:rsidR="00896977" w:rsidRDefault="002F002E" w:rsidP="00740FBE">
      <w:pPr>
        <w:spacing w:line="240" w:lineRule="auto"/>
        <w:jc w:val="both"/>
        <w:rPr>
          <w:rFonts w:ascii="Helvetica" w:hAnsi="Helvetica" w:cs="Helvetica"/>
        </w:rPr>
      </w:pPr>
      <w:r w:rsidRPr="002F002E">
        <w:rPr>
          <w:rFonts w:ascii="Helvetica" w:hAnsi="Helvetica" w:cs="Helvetica"/>
        </w:rPr>
        <w:t>This section should present the research results clearly and in detail. The findings may be organized according to the results of each research phase, the outcomes addressing each research question, or other appropriate arrangements, as long as the presentation clearly reflects the research conducted. The research findings should be supported by empirical evidence.</w:t>
      </w:r>
    </w:p>
    <w:p w:rsidR="00740FBE" w:rsidRPr="00740FBE" w:rsidRDefault="00740FBE" w:rsidP="00896977">
      <w:pPr>
        <w:spacing w:line="240" w:lineRule="auto"/>
        <w:ind w:firstLine="340"/>
        <w:jc w:val="both"/>
        <w:rPr>
          <w:rFonts w:ascii="Helvetica" w:hAnsi="Helvetica" w:cs="Helvetica"/>
        </w:rPr>
      </w:pPr>
      <w:r w:rsidRPr="00740FBE">
        <w:rPr>
          <w:rFonts w:ascii="Helvetica" w:hAnsi="Helvetica" w:cs="Helvetica"/>
        </w:rPr>
        <w:t>The findings of this study reveal a significant relationship between students’ mathematical thinking skills and their overall academic performance in mathematics. Quantitative analysis shows that students with higher levels of logical reasoning, problem-solving ability, and pattern recognition consistently achieved better test scores compared to those with lower levels of mathematical thinking. The correlation analysis indicated a strong positive association (r values ranging from moderate to high), suggesting that mathematical thinking is a strong predictor of students’ performance.</w:t>
      </w:r>
    </w:p>
    <w:p w:rsidR="00740FBE" w:rsidRDefault="00740FBE" w:rsidP="00740FBE">
      <w:pPr>
        <w:spacing w:line="240" w:lineRule="auto"/>
        <w:ind w:firstLine="340"/>
        <w:jc w:val="both"/>
        <w:rPr>
          <w:rFonts w:ascii="Helvetica" w:hAnsi="Helvetica" w:cs="Helvetica"/>
        </w:rPr>
      </w:pPr>
      <w:r w:rsidRPr="00740FBE">
        <w:rPr>
          <w:rFonts w:ascii="Helvetica" w:hAnsi="Helvetica" w:cs="Helvetica"/>
        </w:rPr>
        <w:t xml:space="preserve">In addition, cultural practices were found to contribute meaningfully to students’ mathematics achievement. Students who were actively engaged in culturally relevant activities—such as traditional games involving numerical strategies, community rituals </w:t>
      </w:r>
      <w:r w:rsidRPr="00740FBE">
        <w:rPr>
          <w:rFonts w:ascii="Helvetica" w:hAnsi="Helvetica" w:cs="Helvetica"/>
        </w:rPr>
        <w:lastRenderedPageBreak/>
        <w:t>requiring measurement or estimation, and family practices of collaborative decision-making—displayed better mathematical intuition and confidence. Comparative mean scores showed that students participating in culturally grounded practices performed higher than those with limited exposure.</w:t>
      </w:r>
    </w:p>
    <w:p w:rsidR="009E2F01" w:rsidRDefault="009E2F01" w:rsidP="009E2F01">
      <w:pPr>
        <w:spacing w:line="240" w:lineRule="auto"/>
        <w:jc w:val="both"/>
        <w:rPr>
          <w:rFonts w:ascii="Helvetica" w:hAnsi="Helvetica" w:cs="Helvetica"/>
        </w:rPr>
      </w:pPr>
    </w:p>
    <w:p w:rsidR="009E2F01" w:rsidRPr="009E2F01" w:rsidRDefault="009E2F01" w:rsidP="009E2F01">
      <w:pPr>
        <w:pStyle w:val="ListParagraph"/>
        <w:numPr>
          <w:ilvl w:val="1"/>
          <w:numId w:val="1"/>
        </w:numPr>
        <w:spacing w:after="0" w:line="240" w:lineRule="auto"/>
        <w:ind w:left="454" w:hanging="454"/>
        <w:jc w:val="both"/>
        <w:rPr>
          <w:rFonts w:ascii="Helvetica" w:hAnsi="Helvetica" w:cs="Helvetica"/>
          <w:b/>
        </w:rPr>
      </w:pPr>
      <w:r w:rsidRPr="009E2F01">
        <w:rPr>
          <w:rFonts w:ascii="Helvetica" w:hAnsi="Helvetica" w:cs="Helvetica"/>
          <w:b/>
        </w:rPr>
        <w:t>Descriptive statistics</w:t>
      </w:r>
    </w:p>
    <w:p w:rsidR="009E2F01" w:rsidRDefault="009E2F01" w:rsidP="009E2F01">
      <w:pPr>
        <w:spacing w:line="240" w:lineRule="auto"/>
        <w:jc w:val="both"/>
        <w:rPr>
          <w:rFonts w:ascii="Helvetica" w:hAnsi="Helvetica" w:cs="Helvetica"/>
        </w:rPr>
      </w:pPr>
    </w:p>
    <w:p w:rsidR="009E2F01" w:rsidRPr="00740FBE" w:rsidRDefault="009E2F01" w:rsidP="009E2F01">
      <w:pPr>
        <w:spacing w:line="240" w:lineRule="auto"/>
        <w:jc w:val="both"/>
        <w:rPr>
          <w:rFonts w:ascii="Helvetica" w:hAnsi="Helvetica" w:cs="Helvetica"/>
        </w:rPr>
      </w:pPr>
      <w:r w:rsidRPr="00740FBE">
        <w:rPr>
          <w:rFonts w:ascii="Helvetica" w:hAnsi="Helvetica" w:cs="Helvetica"/>
        </w:rPr>
        <w:t>In addition, cultural practices were found to contribute meaningfully to students’ mathematics achievement. Students who were actively engaged in culturally relevant activities—such as traditional games involving numerical strategies, community rituals requiring measurement or estimation, and family practices of collaborative decision-making—displayed better mathematical intuition and confidence. Comparative mean scores showed that students participating in culturally grounded practices performed higher than those with limited exposure.</w:t>
      </w:r>
    </w:p>
    <w:p w:rsidR="002E0E65" w:rsidRDefault="002E0E65" w:rsidP="00CB1C41">
      <w:pPr>
        <w:spacing w:line="240" w:lineRule="auto"/>
        <w:jc w:val="both"/>
        <w:rPr>
          <w:rFonts w:ascii="Helvetica" w:hAnsi="Helvetica" w:cs="Helvetica"/>
        </w:rPr>
      </w:pPr>
    </w:p>
    <w:p w:rsidR="00CB1C41" w:rsidRDefault="00BE4156" w:rsidP="002820B3">
      <w:pPr>
        <w:spacing w:line="240" w:lineRule="auto"/>
        <w:jc w:val="center"/>
        <w:rPr>
          <w:rFonts w:ascii="Helvetica" w:hAnsi="Helvetica" w:cs="Helvetica"/>
        </w:rPr>
      </w:pPr>
      <w:r>
        <w:rPr>
          <w:rFonts w:ascii="Helvetica" w:hAnsi="Helvetica" w:cs="Helvetica"/>
          <w:b/>
        </w:rPr>
        <w:t>Tab</w:t>
      </w:r>
      <w:r w:rsidR="00CB1C41" w:rsidRPr="002820B3">
        <w:rPr>
          <w:rFonts w:ascii="Helvetica" w:hAnsi="Helvetica" w:cs="Helvetica"/>
          <w:b/>
        </w:rPr>
        <w:t>l</w:t>
      </w:r>
      <w:r>
        <w:rPr>
          <w:rFonts w:ascii="Helvetica" w:hAnsi="Helvetica" w:cs="Helvetica"/>
          <w:b/>
        </w:rPr>
        <w:t>e</w:t>
      </w:r>
      <w:r w:rsidR="00CB1C41" w:rsidRPr="002820B3">
        <w:rPr>
          <w:rFonts w:ascii="Helvetica" w:hAnsi="Helvetica" w:cs="Helvetica"/>
          <w:b/>
        </w:rPr>
        <w:t xml:space="preserve"> 2</w:t>
      </w:r>
      <w:r w:rsidR="00CB1C41">
        <w:rPr>
          <w:rFonts w:ascii="Helvetica" w:hAnsi="Helvetica" w:cs="Helvetica"/>
        </w:rPr>
        <w:t xml:space="preserve">. </w:t>
      </w:r>
      <w:r w:rsidR="002820B3" w:rsidRPr="002820B3">
        <w:rPr>
          <w:rFonts w:ascii="Helvetica" w:hAnsi="Helvetica" w:cs="Helvetica"/>
        </w:rPr>
        <w:t>Descriptive statistics of mathematical thinking and students’ performance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301"/>
        <w:gridCol w:w="788"/>
        <w:gridCol w:w="1326"/>
        <w:gridCol w:w="1213"/>
        <w:gridCol w:w="1029"/>
        <w:gridCol w:w="851"/>
      </w:tblGrid>
      <w:tr w:rsidR="0096698C" w:rsidTr="0096698C">
        <w:tc>
          <w:tcPr>
            <w:tcW w:w="1940" w:type="pct"/>
            <w:tcBorders>
              <w:bottom w:val="single" w:sz="4" w:space="0" w:color="auto"/>
            </w:tcBorders>
          </w:tcPr>
          <w:p w:rsidR="0096698C" w:rsidRDefault="0096698C" w:rsidP="0096698C">
            <w:pPr>
              <w:jc w:val="center"/>
              <w:rPr>
                <w:rFonts w:ascii="Helvetica" w:hAnsi="Helvetica" w:cs="Helvetica"/>
              </w:rPr>
            </w:pPr>
            <w:r>
              <w:rPr>
                <w:rFonts w:ascii="Helvetica" w:hAnsi="Helvetica" w:cs="Helvetica"/>
              </w:rPr>
              <w:t>Variabel</w:t>
            </w:r>
          </w:p>
        </w:tc>
        <w:tc>
          <w:tcPr>
            <w:tcW w:w="463" w:type="pct"/>
            <w:tcBorders>
              <w:bottom w:val="single" w:sz="4" w:space="0" w:color="auto"/>
            </w:tcBorders>
          </w:tcPr>
          <w:p w:rsidR="0096698C" w:rsidRDefault="0096698C" w:rsidP="0096698C">
            <w:pPr>
              <w:jc w:val="center"/>
              <w:rPr>
                <w:rFonts w:ascii="Helvetica" w:hAnsi="Helvetica" w:cs="Helvetica"/>
              </w:rPr>
            </w:pPr>
            <w:r>
              <w:rPr>
                <w:rFonts w:ascii="Helvetica" w:hAnsi="Helvetica" w:cs="Helvetica"/>
              </w:rPr>
              <w:t>N</w:t>
            </w:r>
          </w:p>
        </w:tc>
        <w:tc>
          <w:tcPr>
            <w:tcW w:w="779" w:type="pct"/>
            <w:tcBorders>
              <w:bottom w:val="single" w:sz="4" w:space="0" w:color="auto"/>
            </w:tcBorders>
          </w:tcPr>
          <w:p w:rsidR="0096698C" w:rsidRDefault="0096698C" w:rsidP="0096698C">
            <w:pPr>
              <w:jc w:val="center"/>
              <w:rPr>
                <w:rFonts w:ascii="Helvetica" w:hAnsi="Helvetica" w:cs="Helvetica"/>
              </w:rPr>
            </w:pPr>
            <w:r>
              <w:rPr>
                <w:rFonts w:ascii="Helvetica" w:hAnsi="Helvetica" w:cs="Helvetica"/>
              </w:rPr>
              <w:t>Mean</w:t>
            </w:r>
          </w:p>
        </w:tc>
        <w:tc>
          <w:tcPr>
            <w:tcW w:w="713" w:type="pct"/>
            <w:tcBorders>
              <w:bottom w:val="single" w:sz="4" w:space="0" w:color="auto"/>
            </w:tcBorders>
          </w:tcPr>
          <w:p w:rsidR="0096698C" w:rsidRDefault="0096698C" w:rsidP="0096698C">
            <w:pPr>
              <w:jc w:val="center"/>
              <w:rPr>
                <w:rFonts w:ascii="Helvetica" w:hAnsi="Helvetica" w:cs="Helvetica"/>
              </w:rPr>
            </w:pPr>
            <w:r>
              <w:rPr>
                <w:rFonts w:ascii="Helvetica" w:hAnsi="Helvetica" w:cs="Helvetica"/>
              </w:rPr>
              <w:t>SD</w:t>
            </w:r>
          </w:p>
        </w:tc>
        <w:tc>
          <w:tcPr>
            <w:tcW w:w="605" w:type="pct"/>
            <w:tcBorders>
              <w:bottom w:val="single" w:sz="4" w:space="0" w:color="auto"/>
            </w:tcBorders>
          </w:tcPr>
          <w:p w:rsidR="0096698C" w:rsidRDefault="0096698C" w:rsidP="0096698C">
            <w:pPr>
              <w:jc w:val="center"/>
              <w:rPr>
                <w:rFonts w:ascii="Helvetica" w:hAnsi="Helvetica" w:cs="Helvetica"/>
              </w:rPr>
            </w:pPr>
            <w:r>
              <w:rPr>
                <w:rFonts w:ascii="Helvetica" w:hAnsi="Helvetica" w:cs="Helvetica"/>
              </w:rPr>
              <w:t>Min</w:t>
            </w:r>
          </w:p>
        </w:tc>
        <w:tc>
          <w:tcPr>
            <w:tcW w:w="500" w:type="pct"/>
            <w:tcBorders>
              <w:bottom w:val="single" w:sz="4" w:space="0" w:color="auto"/>
            </w:tcBorders>
          </w:tcPr>
          <w:p w:rsidR="0096698C" w:rsidRDefault="0096698C" w:rsidP="0096698C">
            <w:pPr>
              <w:jc w:val="center"/>
              <w:rPr>
                <w:rFonts w:ascii="Helvetica" w:hAnsi="Helvetica" w:cs="Helvetica"/>
              </w:rPr>
            </w:pPr>
            <w:r>
              <w:rPr>
                <w:rFonts w:ascii="Helvetica" w:hAnsi="Helvetica" w:cs="Helvetica"/>
              </w:rPr>
              <w:t>Max</w:t>
            </w:r>
          </w:p>
        </w:tc>
      </w:tr>
      <w:tr w:rsidR="0096698C" w:rsidTr="0096698C">
        <w:tc>
          <w:tcPr>
            <w:tcW w:w="1940" w:type="pct"/>
            <w:tcBorders>
              <w:bottom w:val="nil"/>
            </w:tcBorders>
          </w:tcPr>
          <w:p w:rsidR="0096698C" w:rsidRDefault="0096698C" w:rsidP="002820B3">
            <w:pPr>
              <w:jc w:val="both"/>
              <w:rPr>
                <w:rFonts w:ascii="Helvetica" w:hAnsi="Helvetica" w:cs="Helvetica"/>
              </w:rPr>
            </w:pPr>
            <w:r w:rsidRPr="0096698C">
              <w:rPr>
                <w:rFonts w:ascii="Helvetica" w:hAnsi="Helvetica" w:cs="Helvetica"/>
              </w:rPr>
              <w:t>Mathematical thinking</w:t>
            </w:r>
            <w:r>
              <w:rPr>
                <w:rFonts w:ascii="Helvetica" w:hAnsi="Helvetica" w:cs="Helvetica"/>
              </w:rPr>
              <w:t xml:space="preserve"> score</w:t>
            </w:r>
          </w:p>
        </w:tc>
        <w:tc>
          <w:tcPr>
            <w:tcW w:w="463" w:type="pct"/>
            <w:tcBorders>
              <w:bottom w:val="nil"/>
            </w:tcBorders>
          </w:tcPr>
          <w:p w:rsidR="0096698C" w:rsidRDefault="0096698C" w:rsidP="0096698C">
            <w:pPr>
              <w:jc w:val="center"/>
              <w:rPr>
                <w:rFonts w:ascii="Helvetica" w:hAnsi="Helvetica" w:cs="Helvetica"/>
              </w:rPr>
            </w:pPr>
            <w:r>
              <w:rPr>
                <w:rFonts w:ascii="Helvetica" w:hAnsi="Helvetica" w:cs="Helvetica"/>
              </w:rPr>
              <w:t>157</w:t>
            </w:r>
          </w:p>
        </w:tc>
        <w:tc>
          <w:tcPr>
            <w:tcW w:w="779" w:type="pct"/>
            <w:tcBorders>
              <w:bottom w:val="nil"/>
            </w:tcBorders>
          </w:tcPr>
          <w:p w:rsidR="0096698C" w:rsidRDefault="0096698C" w:rsidP="0096698C">
            <w:pPr>
              <w:jc w:val="center"/>
              <w:rPr>
                <w:rFonts w:ascii="Helvetica" w:hAnsi="Helvetica" w:cs="Helvetica"/>
              </w:rPr>
            </w:pPr>
            <w:r>
              <w:rPr>
                <w:rFonts w:ascii="Helvetica" w:hAnsi="Helvetica" w:cs="Helvetica"/>
              </w:rPr>
              <w:t>78.45</w:t>
            </w:r>
          </w:p>
        </w:tc>
        <w:tc>
          <w:tcPr>
            <w:tcW w:w="713" w:type="pct"/>
            <w:tcBorders>
              <w:bottom w:val="nil"/>
            </w:tcBorders>
          </w:tcPr>
          <w:p w:rsidR="0096698C" w:rsidRDefault="0096698C" w:rsidP="0096698C">
            <w:pPr>
              <w:jc w:val="center"/>
              <w:rPr>
                <w:rFonts w:ascii="Helvetica" w:hAnsi="Helvetica" w:cs="Helvetica"/>
              </w:rPr>
            </w:pPr>
            <w:r>
              <w:rPr>
                <w:rFonts w:ascii="Helvetica" w:hAnsi="Helvetica" w:cs="Helvetica"/>
              </w:rPr>
              <w:t>10.32</w:t>
            </w:r>
          </w:p>
        </w:tc>
        <w:tc>
          <w:tcPr>
            <w:tcW w:w="605" w:type="pct"/>
            <w:tcBorders>
              <w:bottom w:val="nil"/>
            </w:tcBorders>
          </w:tcPr>
          <w:p w:rsidR="0096698C" w:rsidRDefault="0096698C" w:rsidP="0096698C">
            <w:pPr>
              <w:jc w:val="center"/>
              <w:rPr>
                <w:rFonts w:ascii="Helvetica" w:hAnsi="Helvetica" w:cs="Helvetica"/>
              </w:rPr>
            </w:pPr>
            <w:r>
              <w:rPr>
                <w:rFonts w:ascii="Helvetica" w:hAnsi="Helvetica" w:cs="Helvetica"/>
              </w:rPr>
              <w:t>55</w:t>
            </w:r>
          </w:p>
        </w:tc>
        <w:tc>
          <w:tcPr>
            <w:tcW w:w="500" w:type="pct"/>
            <w:tcBorders>
              <w:bottom w:val="nil"/>
            </w:tcBorders>
          </w:tcPr>
          <w:p w:rsidR="0096698C" w:rsidRDefault="0096698C" w:rsidP="0096698C">
            <w:pPr>
              <w:jc w:val="center"/>
              <w:rPr>
                <w:rFonts w:ascii="Helvetica" w:hAnsi="Helvetica" w:cs="Helvetica"/>
              </w:rPr>
            </w:pPr>
            <w:r>
              <w:rPr>
                <w:rFonts w:ascii="Helvetica" w:hAnsi="Helvetica" w:cs="Helvetica"/>
              </w:rPr>
              <w:t>98</w:t>
            </w:r>
          </w:p>
        </w:tc>
      </w:tr>
      <w:tr w:rsidR="0096698C" w:rsidTr="0096698C">
        <w:tc>
          <w:tcPr>
            <w:tcW w:w="1940" w:type="pct"/>
            <w:tcBorders>
              <w:top w:val="nil"/>
              <w:bottom w:val="nil"/>
            </w:tcBorders>
          </w:tcPr>
          <w:p w:rsidR="0096698C" w:rsidRPr="0096698C" w:rsidRDefault="0096698C" w:rsidP="0096698C">
            <w:pPr>
              <w:jc w:val="both"/>
              <w:rPr>
                <w:rFonts w:ascii="Helvetica" w:hAnsi="Helvetica" w:cs="Helvetica"/>
              </w:rPr>
            </w:pPr>
            <w:r w:rsidRPr="0096698C">
              <w:rPr>
                <w:rFonts w:ascii="Helvetica" w:hAnsi="Helvetica" w:cs="Helvetica"/>
              </w:rPr>
              <w:t xml:space="preserve">Cultural </w:t>
            </w:r>
            <w:r>
              <w:rPr>
                <w:rFonts w:ascii="Helvetica" w:hAnsi="Helvetica" w:cs="Helvetica"/>
              </w:rPr>
              <w:t>p</w:t>
            </w:r>
            <w:r w:rsidRPr="0096698C">
              <w:rPr>
                <w:rFonts w:ascii="Helvetica" w:hAnsi="Helvetica" w:cs="Helvetica"/>
              </w:rPr>
              <w:t>ractices Index</w:t>
            </w:r>
          </w:p>
        </w:tc>
        <w:tc>
          <w:tcPr>
            <w:tcW w:w="463" w:type="pct"/>
            <w:tcBorders>
              <w:top w:val="nil"/>
              <w:bottom w:val="nil"/>
            </w:tcBorders>
          </w:tcPr>
          <w:p w:rsidR="0096698C" w:rsidRDefault="006F05FE" w:rsidP="0096698C">
            <w:pPr>
              <w:jc w:val="center"/>
              <w:rPr>
                <w:rFonts w:ascii="Helvetica" w:hAnsi="Helvetica" w:cs="Helvetica"/>
              </w:rPr>
            </w:pPr>
            <w:r>
              <w:rPr>
                <w:rFonts w:ascii="Helvetica" w:hAnsi="Helvetica" w:cs="Helvetica"/>
              </w:rPr>
              <w:t>157</w:t>
            </w:r>
          </w:p>
        </w:tc>
        <w:tc>
          <w:tcPr>
            <w:tcW w:w="779" w:type="pct"/>
            <w:tcBorders>
              <w:top w:val="nil"/>
              <w:bottom w:val="nil"/>
            </w:tcBorders>
          </w:tcPr>
          <w:p w:rsidR="0096698C" w:rsidRDefault="006F05FE" w:rsidP="0096698C">
            <w:pPr>
              <w:jc w:val="center"/>
              <w:rPr>
                <w:rFonts w:ascii="Helvetica" w:hAnsi="Helvetica" w:cs="Helvetica"/>
              </w:rPr>
            </w:pPr>
            <w:r>
              <w:rPr>
                <w:rFonts w:ascii="Helvetica" w:hAnsi="Helvetica" w:cs="Helvetica"/>
              </w:rPr>
              <w:t>64.12</w:t>
            </w:r>
          </w:p>
        </w:tc>
        <w:tc>
          <w:tcPr>
            <w:tcW w:w="713" w:type="pct"/>
            <w:tcBorders>
              <w:top w:val="nil"/>
              <w:bottom w:val="nil"/>
            </w:tcBorders>
          </w:tcPr>
          <w:p w:rsidR="0096698C" w:rsidRDefault="006F05FE" w:rsidP="0096698C">
            <w:pPr>
              <w:jc w:val="center"/>
              <w:rPr>
                <w:rFonts w:ascii="Helvetica" w:hAnsi="Helvetica" w:cs="Helvetica"/>
              </w:rPr>
            </w:pPr>
            <w:r>
              <w:rPr>
                <w:rFonts w:ascii="Helvetica" w:hAnsi="Helvetica" w:cs="Helvetica"/>
              </w:rPr>
              <w:t>12.08</w:t>
            </w:r>
          </w:p>
        </w:tc>
        <w:tc>
          <w:tcPr>
            <w:tcW w:w="605" w:type="pct"/>
            <w:tcBorders>
              <w:top w:val="nil"/>
              <w:bottom w:val="nil"/>
            </w:tcBorders>
          </w:tcPr>
          <w:p w:rsidR="0096698C" w:rsidRDefault="006F05FE" w:rsidP="0096698C">
            <w:pPr>
              <w:jc w:val="center"/>
              <w:rPr>
                <w:rFonts w:ascii="Helvetica" w:hAnsi="Helvetica" w:cs="Helvetica"/>
              </w:rPr>
            </w:pPr>
            <w:r>
              <w:rPr>
                <w:rFonts w:ascii="Helvetica" w:hAnsi="Helvetica" w:cs="Helvetica"/>
              </w:rPr>
              <w:t>40</w:t>
            </w:r>
          </w:p>
        </w:tc>
        <w:tc>
          <w:tcPr>
            <w:tcW w:w="500" w:type="pct"/>
            <w:tcBorders>
              <w:top w:val="nil"/>
              <w:bottom w:val="nil"/>
            </w:tcBorders>
          </w:tcPr>
          <w:p w:rsidR="0096698C" w:rsidRDefault="006F05FE" w:rsidP="0096698C">
            <w:pPr>
              <w:jc w:val="center"/>
              <w:rPr>
                <w:rFonts w:ascii="Helvetica" w:hAnsi="Helvetica" w:cs="Helvetica"/>
              </w:rPr>
            </w:pPr>
            <w:r>
              <w:rPr>
                <w:rFonts w:ascii="Helvetica" w:hAnsi="Helvetica" w:cs="Helvetica"/>
              </w:rPr>
              <w:t>89</w:t>
            </w:r>
          </w:p>
        </w:tc>
      </w:tr>
      <w:tr w:rsidR="0096698C" w:rsidTr="0096698C">
        <w:tc>
          <w:tcPr>
            <w:tcW w:w="1940" w:type="pct"/>
            <w:tcBorders>
              <w:top w:val="nil"/>
            </w:tcBorders>
          </w:tcPr>
          <w:p w:rsidR="0096698C" w:rsidRDefault="0096698C" w:rsidP="002820B3">
            <w:pPr>
              <w:jc w:val="both"/>
              <w:rPr>
                <w:rFonts w:ascii="Helvetica" w:hAnsi="Helvetica" w:cs="Helvetica"/>
              </w:rPr>
            </w:pPr>
            <w:r w:rsidRPr="0096698C">
              <w:rPr>
                <w:rFonts w:ascii="Helvetica" w:hAnsi="Helvetica" w:cs="Helvetica"/>
              </w:rPr>
              <w:t>Students’ performance</w:t>
            </w:r>
          </w:p>
        </w:tc>
        <w:tc>
          <w:tcPr>
            <w:tcW w:w="463" w:type="pct"/>
            <w:tcBorders>
              <w:top w:val="nil"/>
            </w:tcBorders>
          </w:tcPr>
          <w:p w:rsidR="0096698C" w:rsidRDefault="0096698C" w:rsidP="0096698C">
            <w:pPr>
              <w:jc w:val="center"/>
              <w:rPr>
                <w:rFonts w:ascii="Helvetica" w:hAnsi="Helvetica" w:cs="Helvetica"/>
              </w:rPr>
            </w:pPr>
            <w:r>
              <w:rPr>
                <w:rFonts w:ascii="Helvetica" w:hAnsi="Helvetica" w:cs="Helvetica"/>
              </w:rPr>
              <w:t>157</w:t>
            </w:r>
          </w:p>
        </w:tc>
        <w:tc>
          <w:tcPr>
            <w:tcW w:w="779" w:type="pct"/>
            <w:tcBorders>
              <w:top w:val="nil"/>
            </w:tcBorders>
          </w:tcPr>
          <w:p w:rsidR="0096698C" w:rsidRDefault="0096698C" w:rsidP="0096698C">
            <w:pPr>
              <w:jc w:val="center"/>
              <w:rPr>
                <w:rFonts w:ascii="Helvetica" w:hAnsi="Helvetica" w:cs="Helvetica"/>
              </w:rPr>
            </w:pPr>
            <w:r>
              <w:rPr>
                <w:rFonts w:ascii="Helvetica" w:hAnsi="Helvetica" w:cs="Helvetica"/>
              </w:rPr>
              <w:t>81.76</w:t>
            </w:r>
          </w:p>
        </w:tc>
        <w:tc>
          <w:tcPr>
            <w:tcW w:w="713" w:type="pct"/>
            <w:tcBorders>
              <w:top w:val="nil"/>
            </w:tcBorders>
          </w:tcPr>
          <w:p w:rsidR="0096698C" w:rsidRDefault="0096698C" w:rsidP="0096698C">
            <w:pPr>
              <w:jc w:val="center"/>
              <w:rPr>
                <w:rFonts w:ascii="Helvetica" w:hAnsi="Helvetica" w:cs="Helvetica"/>
              </w:rPr>
            </w:pPr>
            <w:r>
              <w:rPr>
                <w:rFonts w:ascii="Helvetica" w:hAnsi="Helvetica" w:cs="Helvetica"/>
              </w:rPr>
              <w:t>11.54</w:t>
            </w:r>
          </w:p>
        </w:tc>
        <w:tc>
          <w:tcPr>
            <w:tcW w:w="605" w:type="pct"/>
            <w:tcBorders>
              <w:top w:val="nil"/>
            </w:tcBorders>
          </w:tcPr>
          <w:p w:rsidR="0096698C" w:rsidRDefault="0096698C" w:rsidP="0096698C">
            <w:pPr>
              <w:jc w:val="center"/>
              <w:rPr>
                <w:rFonts w:ascii="Helvetica" w:hAnsi="Helvetica" w:cs="Helvetica"/>
              </w:rPr>
            </w:pPr>
            <w:r>
              <w:rPr>
                <w:rFonts w:ascii="Helvetica" w:hAnsi="Helvetica" w:cs="Helvetica"/>
              </w:rPr>
              <w:t>52</w:t>
            </w:r>
          </w:p>
        </w:tc>
        <w:tc>
          <w:tcPr>
            <w:tcW w:w="500" w:type="pct"/>
            <w:tcBorders>
              <w:top w:val="nil"/>
            </w:tcBorders>
          </w:tcPr>
          <w:p w:rsidR="0096698C" w:rsidRDefault="0096698C" w:rsidP="0096698C">
            <w:pPr>
              <w:jc w:val="center"/>
              <w:rPr>
                <w:rFonts w:ascii="Helvetica" w:hAnsi="Helvetica" w:cs="Helvetica"/>
              </w:rPr>
            </w:pPr>
            <w:r>
              <w:rPr>
                <w:rFonts w:ascii="Helvetica" w:hAnsi="Helvetica" w:cs="Helvetica"/>
              </w:rPr>
              <w:t>100</w:t>
            </w:r>
          </w:p>
        </w:tc>
      </w:tr>
    </w:tbl>
    <w:p w:rsidR="002E0E65" w:rsidRPr="00740FBE" w:rsidRDefault="002E0E65" w:rsidP="002820B3">
      <w:pPr>
        <w:spacing w:line="240" w:lineRule="auto"/>
        <w:jc w:val="both"/>
        <w:rPr>
          <w:rFonts w:ascii="Helvetica" w:hAnsi="Helvetica" w:cs="Helvetica"/>
        </w:rPr>
      </w:pPr>
    </w:p>
    <w:p w:rsidR="00740FBE" w:rsidRDefault="005A585B" w:rsidP="00F202DF">
      <w:pPr>
        <w:spacing w:line="240" w:lineRule="auto"/>
        <w:ind w:firstLine="340"/>
        <w:jc w:val="both"/>
        <w:rPr>
          <w:rFonts w:ascii="Helvetica" w:hAnsi="Helvetica" w:cs="Helvetica"/>
        </w:rPr>
      </w:pPr>
      <w:r w:rsidRPr="005A585B">
        <w:rPr>
          <w:rFonts w:ascii="Helvetica" w:hAnsi="Helvetica" w:cs="Helvetica"/>
        </w:rPr>
        <w:t xml:space="preserve">Table </w:t>
      </w:r>
      <w:r w:rsidR="00B651DA">
        <w:rPr>
          <w:rFonts w:ascii="Helvetica" w:hAnsi="Helvetica" w:cs="Helvetica"/>
        </w:rPr>
        <w:t>2</w:t>
      </w:r>
      <w:r w:rsidRPr="005A585B">
        <w:rPr>
          <w:rFonts w:ascii="Helvetica" w:hAnsi="Helvetica" w:cs="Helvetica"/>
        </w:rPr>
        <w:t xml:space="preserve"> presents the descriptive statistics for mathematical thinking, cultural practices, and students’ performance among 120 participants.</w:t>
      </w:r>
      <w:r w:rsidR="002228D7">
        <w:rPr>
          <w:rFonts w:ascii="Helvetica" w:hAnsi="Helvetica" w:cs="Helvetica"/>
        </w:rPr>
        <w:t xml:space="preserve"> </w:t>
      </w:r>
      <w:r w:rsidR="002228D7" w:rsidRPr="002228D7">
        <w:rPr>
          <w:rFonts w:ascii="Helvetica" w:hAnsi="Helvetica" w:cs="Helvetica"/>
        </w:rPr>
        <w:t>Students show relatively strong mathematical thinking abilities. The wide range (55–98) indicates noticeable variability between lower- and higher-performing students. The cultural practices index is moderate on average, with a relatively larger standard deviation. This suggests that students differ more widely in the degree to which cultural practices influence their learning environment. Students’ academic performance is generally high. The variation in scores (52–100) indicates that while many students perform well, a subset still falls into the lower performance range. Overall, the descriptive statistics suggest that there is substantial variability among students, providing a good basis for further analysis of how mathematical thinking and cultural practices relate to student achievement.</w:t>
      </w:r>
    </w:p>
    <w:p w:rsidR="009E2F01" w:rsidRDefault="009E2F01" w:rsidP="009E2F01">
      <w:pPr>
        <w:spacing w:line="240" w:lineRule="auto"/>
        <w:jc w:val="both"/>
        <w:rPr>
          <w:rFonts w:ascii="Helvetica" w:hAnsi="Helvetica" w:cs="Helvetica"/>
        </w:rPr>
      </w:pPr>
    </w:p>
    <w:p w:rsidR="009E2F01" w:rsidRPr="009E2F01" w:rsidRDefault="009E2F01" w:rsidP="009E2F01">
      <w:pPr>
        <w:pStyle w:val="ListParagraph"/>
        <w:numPr>
          <w:ilvl w:val="1"/>
          <w:numId w:val="1"/>
        </w:numPr>
        <w:spacing w:after="0" w:line="240" w:lineRule="auto"/>
        <w:ind w:left="454" w:hanging="454"/>
        <w:jc w:val="both"/>
        <w:rPr>
          <w:rFonts w:ascii="Helvetica" w:hAnsi="Helvetica" w:cs="Helvetica"/>
          <w:b/>
        </w:rPr>
      </w:pPr>
      <w:r w:rsidRPr="009E2F01">
        <w:rPr>
          <w:rFonts w:ascii="Helvetica" w:hAnsi="Helvetica" w:cs="Helvetica"/>
          <w:b/>
        </w:rPr>
        <w:t>Multiple regression</w:t>
      </w:r>
    </w:p>
    <w:p w:rsidR="009E2F01" w:rsidRDefault="009E2F01" w:rsidP="009E2F01">
      <w:pPr>
        <w:spacing w:line="240" w:lineRule="auto"/>
        <w:jc w:val="both"/>
        <w:rPr>
          <w:rFonts w:ascii="Helvetica" w:hAnsi="Helvetica" w:cs="Helvetica"/>
        </w:rPr>
      </w:pPr>
    </w:p>
    <w:p w:rsidR="000A7AAB" w:rsidRDefault="000A7AAB" w:rsidP="009E2F01">
      <w:pPr>
        <w:spacing w:line="240" w:lineRule="auto"/>
        <w:jc w:val="both"/>
        <w:rPr>
          <w:rFonts w:ascii="Helvetica" w:hAnsi="Helvetica" w:cs="Helvetica"/>
        </w:rPr>
      </w:pPr>
      <w:r w:rsidRPr="00740FBE">
        <w:rPr>
          <w:rFonts w:ascii="Helvetica" w:hAnsi="Helvetica" w:cs="Helvetica"/>
        </w:rPr>
        <w:t>The regression model combining mathematical thinking and cultural practices explained a substantial proportion of the variance in students’ performance. Mathematical thinking emerged as the strongest predictor, while cultural practices provided additional explanatory power, indicating that both cognitive and sociocultural factors jointly shape students’ achievement.</w:t>
      </w:r>
    </w:p>
    <w:p w:rsidR="00B651DA" w:rsidRDefault="00B651DA" w:rsidP="00F202DF">
      <w:pPr>
        <w:spacing w:line="240" w:lineRule="auto"/>
        <w:ind w:firstLine="340"/>
        <w:jc w:val="both"/>
        <w:rPr>
          <w:rFonts w:ascii="Helvetica" w:hAnsi="Helvetica" w:cs="Helvetica"/>
        </w:rPr>
      </w:pPr>
    </w:p>
    <w:p w:rsidR="00B651DA" w:rsidRDefault="00BE4156" w:rsidP="00B651DA">
      <w:pPr>
        <w:spacing w:line="240" w:lineRule="auto"/>
        <w:jc w:val="center"/>
        <w:rPr>
          <w:rFonts w:ascii="Helvetica" w:hAnsi="Helvetica" w:cs="Helvetica"/>
        </w:rPr>
      </w:pPr>
      <w:r>
        <w:rPr>
          <w:rFonts w:ascii="Helvetica" w:hAnsi="Helvetica" w:cs="Helvetica"/>
          <w:b/>
        </w:rPr>
        <w:t>Tab</w:t>
      </w:r>
      <w:r w:rsidR="00B651DA" w:rsidRPr="00B651DA">
        <w:rPr>
          <w:rFonts w:ascii="Helvetica" w:hAnsi="Helvetica" w:cs="Helvetica"/>
          <w:b/>
        </w:rPr>
        <w:t>l</w:t>
      </w:r>
      <w:r>
        <w:rPr>
          <w:rFonts w:ascii="Helvetica" w:hAnsi="Helvetica" w:cs="Helvetica"/>
          <w:b/>
        </w:rPr>
        <w:t>e</w:t>
      </w:r>
      <w:r w:rsidR="00B651DA" w:rsidRPr="00B651DA">
        <w:rPr>
          <w:rFonts w:ascii="Helvetica" w:hAnsi="Helvetica" w:cs="Helvetica"/>
          <w:b/>
        </w:rPr>
        <w:t xml:space="preserve"> 3</w:t>
      </w:r>
      <w:r w:rsidR="00B651DA">
        <w:rPr>
          <w:rFonts w:ascii="Helvetica" w:hAnsi="Helvetica" w:cs="Helvetica"/>
        </w:rPr>
        <w:t xml:space="preserve">. </w:t>
      </w:r>
      <w:r w:rsidR="00B651DA" w:rsidRPr="00B651DA">
        <w:rPr>
          <w:rFonts w:ascii="Helvetica" w:hAnsi="Helvetica" w:cs="Helvetica"/>
        </w:rPr>
        <w:t>Multiple regression analysis predicting students’ performance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673"/>
        <w:gridCol w:w="1392"/>
        <w:gridCol w:w="1155"/>
        <w:gridCol w:w="1070"/>
        <w:gridCol w:w="1069"/>
        <w:gridCol w:w="1149"/>
      </w:tblGrid>
      <w:tr w:rsidR="000C0ACB" w:rsidTr="000C0ACB">
        <w:tc>
          <w:tcPr>
            <w:tcW w:w="1571" w:type="pct"/>
            <w:tcBorders>
              <w:bottom w:val="single" w:sz="4" w:space="0" w:color="auto"/>
            </w:tcBorders>
          </w:tcPr>
          <w:p w:rsidR="00B651DA" w:rsidRDefault="006B1367" w:rsidP="006B1367">
            <w:pPr>
              <w:jc w:val="center"/>
              <w:rPr>
                <w:rFonts w:ascii="Helvetica" w:hAnsi="Helvetica" w:cs="Helvetica"/>
              </w:rPr>
            </w:pPr>
            <w:r w:rsidRPr="006B1367">
              <w:rPr>
                <w:rFonts w:ascii="Helvetica" w:hAnsi="Helvetica" w:cs="Helvetica"/>
              </w:rPr>
              <w:t>Predictor</w:t>
            </w:r>
          </w:p>
        </w:tc>
        <w:tc>
          <w:tcPr>
            <w:tcW w:w="818" w:type="pct"/>
            <w:tcBorders>
              <w:bottom w:val="single" w:sz="4" w:space="0" w:color="auto"/>
            </w:tcBorders>
          </w:tcPr>
          <w:p w:rsidR="00B651DA" w:rsidRDefault="006B1367" w:rsidP="006B1367">
            <w:pPr>
              <w:jc w:val="center"/>
              <w:rPr>
                <w:rFonts w:ascii="Helvetica" w:hAnsi="Helvetica" w:cs="Helvetica"/>
              </w:rPr>
            </w:pPr>
            <w:r w:rsidRPr="006B1367">
              <w:rPr>
                <w:rFonts w:ascii="Helvetica" w:hAnsi="Helvetica" w:cs="Helvetica"/>
              </w:rPr>
              <w:t>B</w:t>
            </w:r>
          </w:p>
        </w:tc>
        <w:tc>
          <w:tcPr>
            <w:tcW w:w="679" w:type="pct"/>
            <w:tcBorders>
              <w:bottom w:val="single" w:sz="4" w:space="0" w:color="auto"/>
            </w:tcBorders>
          </w:tcPr>
          <w:p w:rsidR="00B651DA" w:rsidRDefault="006B1367" w:rsidP="006B1367">
            <w:pPr>
              <w:jc w:val="center"/>
              <w:rPr>
                <w:rFonts w:ascii="Helvetica" w:hAnsi="Helvetica" w:cs="Helvetica"/>
              </w:rPr>
            </w:pPr>
            <w:r w:rsidRPr="006B1367">
              <w:rPr>
                <w:rFonts w:ascii="Helvetica" w:hAnsi="Helvetica" w:cs="Helvetica"/>
              </w:rPr>
              <w:t>SE</w:t>
            </w:r>
          </w:p>
        </w:tc>
        <w:tc>
          <w:tcPr>
            <w:tcW w:w="629" w:type="pct"/>
            <w:tcBorders>
              <w:bottom w:val="single" w:sz="4" w:space="0" w:color="auto"/>
            </w:tcBorders>
          </w:tcPr>
          <w:p w:rsidR="00B651DA" w:rsidRDefault="006B1367" w:rsidP="006B1367">
            <w:pPr>
              <w:jc w:val="center"/>
              <w:rPr>
                <w:rFonts w:ascii="Helvetica" w:hAnsi="Helvetica" w:cs="Helvetica"/>
              </w:rPr>
            </w:pPr>
            <w:r w:rsidRPr="006B1367">
              <w:rPr>
                <w:rFonts w:ascii="Helvetica" w:hAnsi="Helvetica" w:cs="Helvetica"/>
              </w:rPr>
              <w:t>β</w:t>
            </w:r>
          </w:p>
        </w:tc>
        <w:tc>
          <w:tcPr>
            <w:tcW w:w="628" w:type="pct"/>
            <w:tcBorders>
              <w:bottom w:val="single" w:sz="4" w:space="0" w:color="auto"/>
            </w:tcBorders>
          </w:tcPr>
          <w:p w:rsidR="00B651DA" w:rsidRDefault="006B1367" w:rsidP="006B1367">
            <w:pPr>
              <w:jc w:val="center"/>
              <w:rPr>
                <w:rFonts w:ascii="Helvetica" w:hAnsi="Helvetica" w:cs="Helvetica"/>
              </w:rPr>
            </w:pPr>
            <w:r w:rsidRPr="006B1367">
              <w:rPr>
                <w:rFonts w:ascii="Helvetica" w:hAnsi="Helvetica" w:cs="Helvetica"/>
              </w:rPr>
              <w:t>t</w:t>
            </w:r>
          </w:p>
        </w:tc>
        <w:tc>
          <w:tcPr>
            <w:tcW w:w="675" w:type="pct"/>
            <w:tcBorders>
              <w:bottom w:val="single" w:sz="4" w:space="0" w:color="auto"/>
            </w:tcBorders>
          </w:tcPr>
          <w:p w:rsidR="00B651DA" w:rsidRDefault="006B1367" w:rsidP="006B1367">
            <w:pPr>
              <w:jc w:val="center"/>
              <w:rPr>
                <w:rFonts w:ascii="Helvetica" w:hAnsi="Helvetica" w:cs="Helvetica"/>
              </w:rPr>
            </w:pPr>
            <w:r w:rsidRPr="006B1367">
              <w:rPr>
                <w:rFonts w:ascii="Helvetica" w:hAnsi="Helvetica" w:cs="Helvetica"/>
              </w:rPr>
              <w:t>p</w:t>
            </w:r>
          </w:p>
        </w:tc>
      </w:tr>
      <w:tr w:rsidR="000C0ACB" w:rsidTr="000C0ACB">
        <w:tc>
          <w:tcPr>
            <w:tcW w:w="1571" w:type="pct"/>
            <w:tcBorders>
              <w:bottom w:val="nil"/>
            </w:tcBorders>
          </w:tcPr>
          <w:p w:rsidR="00B651DA" w:rsidRDefault="00AA6F75" w:rsidP="006B1367">
            <w:pPr>
              <w:jc w:val="both"/>
              <w:rPr>
                <w:rFonts w:ascii="Helvetica" w:hAnsi="Helvetica" w:cs="Helvetica"/>
              </w:rPr>
            </w:pPr>
            <w:r>
              <w:rPr>
                <w:rFonts w:ascii="Helvetica" w:hAnsi="Helvetica" w:cs="Helvetica"/>
              </w:rPr>
              <w:t>Mathematical thinking</w:t>
            </w:r>
          </w:p>
        </w:tc>
        <w:tc>
          <w:tcPr>
            <w:tcW w:w="818" w:type="pct"/>
            <w:tcBorders>
              <w:bottom w:val="nil"/>
            </w:tcBorders>
          </w:tcPr>
          <w:p w:rsidR="00B651DA" w:rsidRDefault="000C0ACB" w:rsidP="00734571">
            <w:pPr>
              <w:jc w:val="center"/>
              <w:rPr>
                <w:rFonts w:ascii="Helvetica" w:hAnsi="Helvetica" w:cs="Helvetica"/>
              </w:rPr>
            </w:pPr>
            <w:r>
              <w:rPr>
                <w:rFonts w:ascii="Helvetica" w:hAnsi="Helvetica" w:cs="Helvetica"/>
              </w:rPr>
              <w:t>0.52</w:t>
            </w:r>
          </w:p>
        </w:tc>
        <w:tc>
          <w:tcPr>
            <w:tcW w:w="679" w:type="pct"/>
            <w:tcBorders>
              <w:bottom w:val="nil"/>
            </w:tcBorders>
          </w:tcPr>
          <w:p w:rsidR="00B651DA" w:rsidRDefault="000C0ACB" w:rsidP="00734571">
            <w:pPr>
              <w:jc w:val="center"/>
              <w:rPr>
                <w:rFonts w:ascii="Helvetica" w:hAnsi="Helvetica" w:cs="Helvetica"/>
              </w:rPr>
            </w:pPr>
            <w:r>
              <w:rPr>
                <w:rFonts w:ascii="Helvetica" w:hAnsi="Helvetica" w:cs="Helvetica"/>
              </w:rPr>
              <w:t>0.08</w:t>
            </w:r>
          </w:p>
        </w:tc>
        <w:tc>
          <w:tcPr>
            <w:tcW w:w="629" w:type="pct"/>
            <w:tcBorders>
              <w:bottom w:val="nil"/>
            </w:tcBorders>
          </w:tcPr>
          <w:p w:rsidR="00B651DA" w:rsidRDefault="000C0ACB" w:rsidP="00734571">
            <w:pPr>
              <w:jc w:val="center"/>
              <w:rPr>
                <w:rFonts w:ascii="Helvetica" w:hAnsi="Helvetica" w:cs="Helvetica"/>
              </w:rPr>
            </w:pPr>
            <w:r>
              <w:rPr>
                <w:rFonts w:ascii="Helvetica" w:hAnsi="Helvetica" w:cs="Helvetica"/>
              </w:rPr>
              <w:t>0.49</w:t>
            </w:r>
          </w:p>
        </w:tc>
        <w:tc>
          <w:tcPr>
            <w:tcW w:w="628" w:type="pct"/>
            <w:tcBorders>
              <w:bottom w:val="nil"/>
            </w:tcBorders>
          </w:tcPr>
          <w:p w:rsidR="00B651DA" w:rsidRDefault="000C0ACB" w:rsidP="00734571">
            <w:pPr>
              <w:jc w:val="center"/>
              <w:rPr>
                <w:rFonts w:ascii="Helvetica" w:hAnsi="Helvetica" w:cs="Helvetica"/>
              </w:rPr>
            </w:pPr>
            <w:r>
              <w:rPr>
                <w:rFonts w:ascii="Helvetica" w:hAnsi="Helvetica" w:cs="Helvetica"/>
              </w:rPr>
              <w:t>6.47</w:t>
            </w:r>
          </w:p>
        </w:tc>
        <w:tc>
          <w:tcPr>
            <w:tcW w:w="675" w:type="pct"/>
            <w:tcBorders>
              <w:bottom w:val="nil"/>
            </w:tcBorders>
          </w:tcPr>
          <w:p w:rsidR="00B651DA" w:rsidRDefault="006B1367" w:rsidP="00734571">
            <w:pPr>
              <w:jc w:val="center"/>
              <w:rPr>
                <w:rFonts w:ascii="Helvetica" w:hAnsi="Helvetica" w:cs="Helvetica"/>
              </w:rPr>
            </w:pPr>
            <w:r w:rsidRPr="006B1367">
              <w:rPr>
                <w:rFonts w:ascii="Helvetica" w:hAnsi="Helvetica" w:cs="Helvetica"/>
              </w:rPr>
              <w:t xml:space="preserve">&lt; </w:t>
            </w:r>
            <w:r w:rsidR="004359CC">
              <w:rPr>
                <w:rFonts w:ascii="Helvetica" w:hAnsi="Helvetica" w:cs="Helvetica"/>
              </w:rPr>
              <w:t>0</w:t>
            </w:r>
            <w:r w:rsidRPr="006B1367">
              <w:rPr>
                <w:rFonts w:ascii="Helvetica" w:hAnsi="Helvetica" w:cs="Helvetica"/>
              </w:rPr>
              <w:t>.001</w:t>
            </w:r>
          </w:p>
        </w:tc>
      </w:tr>
      <w:tr w:rsidR="000C0ACB" w:rsidTr="000C0ACB">
        <w:tc>
          <w:tcPr>
            <w:tcW w:w="1571" w:type="pct"/>
            <w:tcBorders>
              <w:top w:val="nil"/>
              <w:bottom w:val="nil"/>
            </w:tcBorders>
          </w:tcPr>
          <w:p w:rsidR="00B651DA" w:rsidRDefault="00AA6F75" w:rsidP="006B1367">
            <w:pPr>
              <w:jc w:val="both"/>
              <w:rPr>
                <w:rFonts w:ascii="Helvetica" w:hAnsi="Helvetica" w:cs="Helvetica"/>
              </w:rPr>
            </w:pPr>
            <w:r>
              <w:rPr>
                <w:rFonts w:ascii="Helvetica" w:hAnsi="Helvetica" w:cs="Helvetica"/>
              </w:rPr>
              <w:t>Cultural practices</w:t>
            </w:r>
          </w:p>
        </w:tc>
        <w:tc>
          <w:tcPr>
            <w:tcW w:w="818" w:type="pct"/>
            <w:tcBorders>
              <w:top w:val="nil"/>
              <w:bottom w:val="nil"/>
            </w:tcBorders>
          </w:tcPr>
          <w:p w:rsidR="00B651DA" w:rsidRDefault="000C0ACB" w:rsidP="00734571">
            <w:pPr>
              <w:jc w:val="center"/>
              <w:rPr>
                <w:rFonts w:ascii="Helvetica" w:hAnsi="Helvetica" w:cs="Helvetica"/>
              </w:rPr>
            </w:pPr>
            <w:r>
              <w:rPr>
                <w:rFonts w:ascii="Helvetica" w:hAnsi="Helvetica" w:cs="Helvetica"/>
              </w:rPr>
              <w:t>0.27</w:t>
            </w:r>
          </w:p>
        </w:tc>
        <w:tc>
          <w:tcPr>
            <w:tcW w:w="679" w:type="pct"/>
            <w:tcBorders>
              <w:top w:val="nil"/>
              <w:bottom w:val="nil"/>
            </w:tcBorders>
          </w:tcPr>
          <w:p w:rsidR="00B651DA" w:rsidRDefault="000C0ACB" w:rsidP="00734571">
            <w:pPr>
              <w:jc w:val="center"/>
              <w:rPr>
                <w:rFonts w:ascii="Helvetica" w:hAnsi="Helvetica" w:cs="Helvetica"/>
              </w:rPr>
            </w:pPr>
            <w:r>
              <w:rPr>
                <w:rFonts w:ascii="Helvetica" w:hAnsi="Helvetica" w:cs="Helvetica"/>
              </w:rPr>
              <w:t>0.09</w:t>
            </w:r>
          </w:p>
        </w:tc>
        <w:tc>
          <w:tcPr>
            <w:tcW w:w="629" w:type="pct"/>
            <w:tcBorders>
              <w:top w:val="nil"/>
              <w:bottom w:val="nil"/>
            </w:tcBorders>
          </w:tcPr>
          <w:p w:rsidR="00B651DA" w:rsidRDefault="000C0ACB" w:rsidP="00734571">
            <w:pPr>
              <w:jc w:val="center"/>
              <w:rPr>
                <w:rFonts w:ascii="Helvetica" w:hAnsi="Helvetica" w:cs="Helvetica"/>
              </w:rPr>
            </w:pPr>
            <w:r>
              <w:rPr>
                <w:rFonts w:ascii="Helvetica" w:hAnsi="Helvetica" w:cs="Helvetica"/>
              </w:rPr>
              <w:t>0.21</w:t>
            </w:r>
          </w:p>
        </w:tc>
        <w:tc>
          <w:tcPr>
            <w:tcW w:w="628" w:type="pct"/>
            <w:tcBorders>
              <w:top w:val="nil"/>
              <w:bottom w:val="nil"/>
            </w:tcBorders>
          </w:tcPr>
          <w:p w:rsidR="00B651DA" w:rsidRDefault="000C0ACB" w:rsidP="00734571">
            <w:pPr>
              <w:jc w:val="center"/>
              <w:rPr>
                <w:rFonts w:ascii="Helvetica" w:hAnsi="Helvetica" w:cs="Helvetica"/>
              </w:rPr>
            </w:pPr>
            <w:r>
              <w:rPr>
                <w:rFonts w:ascii="Helvetica" w:hAnsi="Helvetica" w:cs="Helvetica"/>
              </w:rPr>
              <w:t>3.02</w:t>
            </w:r>
          </w:p>
        </w:tc>
        <w:tc>
          <w:tcPr>
            <w:tcW w:w="675" w:type="pct"/>
            <w:tcBorders>
              <w:top w:val="nil"/>
              <w:bottom w:val="nil"/>
            </w:tcBorders>
          </w:tcPr>
          <w:p w:rsidR="00B651DA" w:rsidRDefault="00734571" w:rsidP="00734571">
            <w:pPr>
              <w:jc w:val="center"/>
              <w:rPr>
                <w:rFonts w:ascii="Helvetica" w:hAnsi="Helvetica" w:cs="Helvetica"/>
              </w:rPr>
            </w:pPr>
            <w:r>
              <w:rPr>
                <w:rFonts w:ascii="Helvetica" w:hAnsi="Helvetica" w:cs="Helvetica"/>
              </w:rPr>
              <w:t>0</w:t>
            </w:r>
            <w:r w:rsidR="006B1367" w:rsidRPr="006B1367">
              <w:rPr>
                <w:rFonts w:ascii="Helvetica" w:hAnsi="Helvetica" w:cs="Helvetica"/>
              </w:rPr>
              <w:t>.003</w:t>
            </w:r>
          </w:p>
        </w:tc>
      </w:tr>
      <w:tr w:rsidR="000C0ACB" w:rsidTr="000C0ACB">
        <w:tc>
          <w:tcPr>
            <w:tcW w:w="1571" w:type="pct"/>
            <w:tcBorders>
              <w:top w:val="nil"/>
              <w:bottom w:val="nil"/>
            </w:tcBorders>
          </w:tcPr>
          <w:p w:rsidR="00B651DA" w:rsidRDefault="006B1367" w:rsidP="006B1367">
            <w:pPr>
              <w:jc w:val="both"/>
              <w:rPr>
                <w:rFonts w:ascii="Helvetica" w:hAnsi="Helvetica" w:cs="Helvetica"/>
              </w:rPr>
            </w:pPr>
            <w:r>
              <w:rPr>
                <w:rFonts w:ascii="Helvetica" w:hAnsi="Helvetica" w:cs="Helvetica"/>
              </w:rPr>
              <w:t>Constant</w:t>
            </w:r>
          </w:p>
        </w:tc>
        <w:tc>
          <w:tcPr>
            <w:tcW w:w="818" w:type="pct"/>
            <w:tcBorders>
              <w:top w:val="nil"/>
              <w:bottom w:val="nil"/>
            </w:tcBorders>
          </w:tcPr>
          <w:p w:rsidR="00B651DA" w:rsidRDefault="006B1367" w:rsidP="00734571">
            <w:pPr>
              <w:jc w:val="center"/>
              <w:rPr>
                <w:rFonts w:ascii="Helvetica" w:hAnsi="Helvetica" w:cs="Helvetica"/>
              </w:rPr>
            </w:pPr>
            <w:r>
              <w:rPr>
                <w:rFonts w:ascii="Helvetica" w:hAnsi="Helvetica" w:cs="Helvetica"/>
              </w:rPr>
              <w:t>34.11</w:t>
            </w:r>
          </w:p>
        </w:tc>
        <w:tc>
          <w:tcPr>
            <w:tcW w:w="679" w:type="pct"/>
            <w:tcBorders>
              <w:top w:val="nil"/>
              <w:bottom w:val="nil"/>
            </w:tcBorders>
          </w:tcPr>
          <w:p w:rsidR="00B651DA" w:rsidRDefault="006B1367" w:rsidP="00734571">
            <w:pPr>
              <w:jc w:val="center"/>
              <w:rPr>
                <w:rFonts w:ascii="Helvetica" w:hAnsi="Helvetica" w:cs="Helvetica"/>
              </w:rPr>
            </w:pPr>
            <w:r>
              <w:rPr>
                <w:rFonts w:ascii="Helvetica" w:hAnsi="Helvetica" w:cs="Helvetica"/>
              </w:rPr>
              <w:t>5.72</w:t>
            </w:r>
          </w:p>
        </w:tc>
        <w:tc>
          <w:tcPr>
            <w:tcW w:w="629" w:type="pct"/>
            <w:tcBorders>
              <w:top w:val="nil"/>
              <w:bottom w:val="nil"/>
            </w:tcBorders>
          </w:tcPr>
          <w:p w:rsidR="00B651DA" w:rsidRDefault="006B1367" w:rsidP="00734571">
            <w:pPr>
              <w:jc w:val="center"/>
              <w:rPr>
                <w:rFonts w:ascii="Helvetica" w:hAnsi="Helvetica" w:cs="Helvetica"/>
              </w:rPr>
            </w:pPr>
            <w:r>
              <w:rPr>
                <w:rFonts w:ascii="Helvetica" w:hAnsi="Helvetica" w:cs="Helvetica"/>
              </w:rPr>
              <w:t>—</w:t>
            </w:r>
          </w:p>
        </w:tc>
        <w:tc>
          <w:tcPr>
            <w:tcW w:w="628" w:type="pct"/>
            <w:tcBorders>
              <w:top w:val="nil"/>
              <w:bottom w:val="nil"/>
            </w:tcBorders>
          </w:tcPr>
          <w:p w:rsidR="00B651DA" w:rsidRDefault="006B1367" w:rsidP="00734571">
            <w:pPr>
              <w:jc w:val="center"/>
              <w:rPr>
                <w:rFonts w:ascii="Helvetica" w:hAnsi="Helvetica" w:cs="Helvetica"/>
              </w:rPr>
            </w:pPr>
            <w:r>
              <w:rPr>
                <w:rFonts w:ascii="Helvetica" w:hAnsi="Helvetica" w:cs="Helvetica"/>
              </w:rPr>
              <w:t>5.96</w:t>
            </w:r>
          </w:p>
        </w:tc>
        <w:tc>
          <w:tcPr>
            <w:tcW w:w="675" w:type="pct"/>
            <w:tcBorders>
              <w:top w:val="nil"/>
              <w:bottom w:val="nil"/>
            </w:tcBorders>
          </w:tcPr>
          <w:p w:rsidR="00B651DA" w:rsidRDefault="006B1367" w:rsidP="00734571">
            <w:pPr>
              <w:jc w:val="center"/>
              <w:rPr>
                <w:rFonts w:ascii="Helvetica" w:hAnsi="Helvetica" w:cs="Helvetica"/>
              </w:rPr>
            </w:pPr>
            <w:r w:rsidRPr="006B1367">
              <w:rPr>
                <w:rFonts w:ascii="Helvetica" w:hAnsi="Helvetica" w:cs="Helvetica"/>
              </w:rPr>
              <w:t xml:space="preserve">&lt; </w:t>
            </w:r>
            <w:r w:rsidR="004359CC">
              <w:rPr>
                <w:rFonts w:ascii="Helvetica" w:hAnsi="Helvetica" w:cs="Helvetica"/>
              </w:rPr>
              <w:t>0</w:t>
            </w:r>
            <w:r w:rsidRPr="006B1367">
              <w:rPr>
                <w:rFonts w:ascii="Helvetica" w:hAnsi="Helvetica" w:cs="Helvetica"/>
              </w:rPr>
              <w:t>.001</w:t>
            </w:r>
          </w:p>
        </w:tc>
      </w:tr>
      <w:tr w:rsidR="000C0ACB" w:rsidTr="000C0ACB">
        <w:tc>
          <w:tcPr>
            <w:tcW w:w="1571" w:type="pct"/>
            <w:tcBorders>
              <w:top w:val="nil"/>
            </w:tcBorders>
          </w:tcPr>
          <w:p w:rsidR="00B651DA" w:rsidRDefault="00AA6F75" w:rsidP="006B1367">
            <w:pPr>
              <w:jc w:val="both"/>
              <w:rPr>
                <w:rFonts w:ascii="Helvetica" w:hAnsi="Helvetica" w:cs="Helvetica"/>
              </w:rPr>
            </w:pPr>
            <w:r>
              <w:rPr>
                <w:rFonts w:ascii="Helvetica" w:hAnsi="Helvetica" w:cs="Helvetica"/>
              </w:rPr>
              <w:t>Model fit</w:t>
            </w:r>
            <w:r w:rsidR="00734571">
              <w:rPr>
                <w:rFonts w:ascii="Helvetica" w:hAnsi="Helvetica" w:cs="Helvetica"/>
              </w:rPr>
              <w:t xml:space="preserve"> (</w:t>
            </w:r>
            <w:r w:rsidR="00734571" w:rsidRPr="006B1367">
              <w:rPr>
                <w:rFonts w:ascii="Helvetica" w:hAnsi="Helvetica" w:cs="Helvetica"/>
              </w:rPr>
              <w:t>R²</w:t>
            </w:r>
            <w:r w:rsidR="00734571">
              <w:rPr>
                <w:rFonts w:ascii="Helvetica" w:hAnsi="Helvetica" w:cs="Helvetica"/>
              </w:rPr>
              <w:t>)</w:t>
            </w:r>
          </w:p>
        </w:tc>
        <w:tc>
          <w:tcPr>
            <w:tcW w:w="818" w:type="pct"/>
            <w:tcBorders>
              <w:top w:val="nil"/>
            </w:tcBorders>
          </w:tcPr>
          <w:p w:rsidR="00B651DA" w:rsidRDefault="00734571" w:rsidP="00734571">
            <w:pPr>
              <w:jc w:val="center"/>
              <w:rPr>
                <w:rFonts w:ascii="Helvetica" w:hAnsi="Helvetica" w:cs="Helvetica"/>
              </w:rPr>
            </w:pPr>
            <w:r>
              <w:rPr>
                <w:rFonts w:ascii="Helvetica" w:hAnsi="Helvetica" w:cs="Helvetica"/>
              </w:rPr>
              <w:t>0</w:t>
            </w:r>
            <w:r w:rsidR="006B1367" w:rsidRPr="006B1367">
              <w:rPr>
                <w:rFonts w:ascii="Helvetica" w:hAnsi="Helvetica" w:cs="Helvetica"/>
              </w:rPr>
              <w:t>.46</w:t>
            </w:r>
          </w:p>
        </w:tc>
        <w:tc>
          <w:tcPr>
            <w:tcW w:w="679" w:type="pct"/>
            <w:tcBorders>
              <w:top w:val="nil"/>
            </w:tcBorders>
          </w:tcPr>
          <w:p w:rsidR="00B651DA" w:rsidRDefault="00B651DA" w:rsidP="00B651DA">
            <w:pPr>
              <w:jc w:val="both"/>
              <w:rPr>
                <w:rFonts w:ascii="Helvetica" w:hAnsi="Helvetica" w:cs="Helvetica"/>
              </w:rPr>
            </w:pPr>
          </w:p>
        </w:tc>
        <w:tc>
          <w:tcPr>
            <w:tcW w:w="629" w:type="pct"/>
            <w:tcBorders>
              <w:top w:val="nil"/>
            </w:tcBorders>
          </w:tcPr>
          <w:p w:rsidR="00B651DA" w:rsidRDefault="00B651DA" w:rsidP="00B651DA">
            <w:pPr>
              <w:jc w:val="both"/>
              <w:rPr>
                <w:rFonts w:ascii="Helvetica" w:hAnsi="Helvetica" w:cs="Helvetica"/>
              </w:rPr>
            </w:pPr>
          </w:p>
        </w:tc>
        <w:tc>
          <w:tcPr>
            <w:tcW w:w="628" w:type="pct"/>
            <w:tcBorders>
              <w:top w:val="nil"/>
            </w:tcBorders>
          </w:tcPr>
          <w:p w:rsidR="00B651DA" w:rsidRDefault="00B651DA" w:rsidP="00B651DA">
            <w:pPr>
              <w:jc w:val="both"/>
              <w:rPr>
                <w:rFonts w:ascii="Helvetica" w:hAnsi="Helvetica" w:cs="Helvetica"/>
              </w:rPr>
            </w:pPr>
          </w:p>
        </w:tc>
        <w:tc>
          <w:tcPr>
            <w:tcW w:w="675" w:type="pct"/>
            <w:tcBorders>
              <w:top w:val="nil"/>
            </w:tcBorders>
          </w:tcPr>
          <w:p w:rsidR="00B651DA" w:rsidRDefault="00B651DA" w:rsidP="00B651DA">
            <w:pPr>
              <w:jc w:val="both"/>
              <w:rPr>
                <w:rFonts w:ascii="Helvetica" w:hAnsi="Helvetica" w:cs="Helvetica"/>
              </w:rPr>
            </w:pPr>
          </w:p>
        </w:tc>
      </w:tr>
    </w:tbl>
    <w:p w:rsidR="00B651DA" w:rsidRDefault="00B651DA" w:rsidP="00B651DA">
      <w:pPr>
        <w:spacing w:line="240" w:lineRule="auto"/>
        <w:jc w:val="both"/>
        <w:rPr>
          <w:rFonts w:ascii="Helvetica" w:hAnsi="Helvetica" w:cs="Helvetica"/>
        </w:rPr>
      </w:pPr>
    </w:p>
    <w:p w:rsidR="00B651DA" w:rsidRDefault="00AA6F75" w:rsidP="00AA6F75">
      <w:pPr>
        <w:spacing w:line="240" w:lineRule="auto"/>
        <w:ind w:firstLine="340"/>
        <w:jc w:val="both"/>
        <w:rPr>
          <w:rFonts w:ascii="Helvetica" w:hAnsi="Helvetica" w:cs="Helvetica"/>
        </w:rPr>
      </w:pPr>
      <w:r w:rsidRPr="00AA6F75">
        <w:rPr>
          <w:rFonts w:ascii="Helvetica" w:hAnsi="Helvetica" w:cs="Helvetica"/>
        </w:rPr>
        <w:t xml:space="preserve">Table </w:t>
      </w:r>
      <w:r>
        <w:rPr>
          <w:rFonts w:ascii="Helvetica" w:hAnsi="Helvetica" w:cs="Helvetica"/>
        </w:rPr>
        <w:t>3</w:t>
      </w:r>
      <w:r w:rsidRPr="00AA6F75">
        <w:rPr>
          <w:rFonts w:ascii="Helvetica" w:hAnsi="Helvetica" w:cs="Helvetica"/>
        </w:rPr>
        <w:t xml:space="preserve"> summarizes the results of a multiple regression analysis examining whether mathematical thinking and cultural practices predict students’ performance.</w:t>
      </w:r>
      <w:r w:rsidR="00215292">
        <w:rPr>
          <w:rFonts w:ascii="Helvetica" w:hAnsi="Helvetica" w:cs="Helvetica"/>
        </w:rPr>
        <w:t xml:space="preserve"> </w:t>
      </w:r>
      <w:r w:rsidR="00215292" w:rsidRPr="00215292">
        <w:rPr>
          <w:rFonts w:ascii="Helvetica" w:hAnsi="Helvetica" w:cs="Helvetica"/>
        </w:rPr>
        <w:t xml:space="preserve">Mathematical thinking has a strong and statistically significant positive effect on students’ performance. For every one-unit increase in mathematical thinking score, students’ </w:t>
      </w:r>
      <w:r w:rsidR="00215292" w:rsidRPr="00215292">
        <w:rPr>
          <w:rFonts w:ascii="Helvetica" w:hAnsi="Helvetica" w:cs="Helvetica"/>
        </w:rPr>
        <w:lastRenderedPageBreak/>
        <w:t>performance increases by approximately 0.52 points. This makes mathematical thinking the strongest predictor in the model.</w:t>
      </w:r>
      <w:r w:rsidR="00215292">
        <w:rPr>
          <w:rFonts w:ascii="Helvetica" w:hAnsi="Helvetica" w:cs="Helvetica"/>
        </w:rPr>
        <w:t xml:space="preserve"> </w:t>
      </w:r>
      <w:r w:rsidR="00215292" w:rsidRPr="00215292">
        <w:rPr>
          <w:rFonts w:ascii="Helvetica" w:hAnsi="Helvetica" w:cs="Helvetica"/>
        </w:rPr>
        <w:t>Cultural practices also significantly predict performance, but its effect is smaller than mathematical thinking. Students with stronger cultural learning practices tend to achieve better performance, though the relationship is moderate.</w:t>
      </w:r>
      <w:r w:rsidR="00215292">
        <w:rPr>
          <w:rFonts w:ascii="Helvetica" w:hAnsi="Helvetica" w:cs="Helvetica"/>
        </w:rPr>
        <w:t xml:space="preserve"> </w:t>
      </w:r>
      <w:r w:rsidR="00215292" w:rsidRPr="00215292">
        <w:rPr>
          <w:rFonts w:ascii="Helvetica" w:hAnsi="Helvetica" w:cs="Helvetica"/>
        </w:rPr>
        <w:t>The model explains 46% of the variance in students’ performance, indicating a moderately strong predictive power. Nearly half of the differences in students’ performance can be accounted for by these two variables.</w:t>
      </w:r>
    </w:p>
    <w:p w:rsidR="00215292" w:rsidRPr="005A585B" w:rsidRDefault="00215292" w:rsidP="00AA6F75">
      <w:pPr>
        <w:spacing w:line="240" w:lineRule="auto"/>
        <w:ind w:firstLine="340"/>
        <w:jc w:val="both"/>
        <w:rPr>
          <w:rFonts w:ascii="Helvetica" w:hAnsi="Helvetica" w:cs="Helvetica"/>
        </w:rPr>
      </w:pPr>
      <w:r w:rsidRPr="00215292">
        <w:rPr>
          <w:rFonts w:ascii="Helvetica" w:hAnsi="Helvetica" w:cs="Helvetica"/>
        </w:rPr>
        <w:t>The results show that: Both mathematical thinking and cultural practices significantly contribute to students’ academic performance. Mathematical thinking is the most influential factor, suggesting that cognitive mathematical skills play a crucial role in academic success. Cultural practices contribute positively as well, highlighting the importance of cultural context and learning habits in shaping student achievement.</w:t>
      </w:r>
    </w:p>
    <w:p w:rsidR="00740FBE" w:rsidRDefault="00740FBE" w:rsidP="00BB452C">
      <w:pPr>
        <w:spacing w:line="240" w:lineRule="auto"/>
        <w:rPr>
          <w:rFonts w:ascii="Helvetica" w:hAnsi="Helvetica" w:cs="Helvetica"/>
          <w:b/>
        </w:rPr>
      </w:pPr>
    </w:p>
    <w:p w:rsidR="00740FBE" w:rsidRDefault="00740FBE" w:rsidP="00BB452C">
      <w:pPr>
        <w:spacing w:line="240" w:lineRule="auto"/>
        <w:rPr>
          <w:rFonts w:ascii="Helvetica" w:hAnsi="Helvetica" w:cs="Helvetica"/>
          <w:b/>
        </w:rPr>
      </w:pPr>
    </w:p>
    <w:p w:rsidR="00215292" w:rsidRPr="00A17034" w:rsidRDefault="00215292" w:rsidP="00BB452C">
      <w:pPr>
        <w:spacing w:line="240" w:lineRule="auto"/>
        <w:rPr>
          <w:rFonts w:ascii="Helvetica" w:hAnsi="Helvetica" w:cs="Helvetica"/>
          <w:b/>
        </w:rPr>
      </w:pPr>
    </w:p>
    <w:p w:rsidR="00DB74D5" w:rsidRPr="00A17034" w:rsidRDefault="00DB74D5" w:rsidP="00BB452C">
      <w:pPr>
        <w:pStyle w:val="ListParagraph"/>
        <w:numPr>
          <w:ilvl w:val="0"/>
          <w:numId w:val="1"/>
        </w:numPr>
        <w:spacing w:after="0" w:line="240" w:lineRule="auto"/>
        <w:ind w:left="340" w:hanging="340"/>
        <w:rPr>
          <w:rFonts w:ascii="Helvetica" w:hAnsi="Helvetica" w:cs="Helvetica"/>
          <w:b/>
        </w:rPr>
      </w:pPr>
      <w:r w:rsidRPr="00A17034">
        <w:rPr>
          <w:rFonts w:ascii="Helvetica" w:hAnsi="Helvetica" w:cs="Helvetica"/>
          <w:b/>
        </w:rPr>
        <w:t>DISCUSSION</w:t>
      </w:r>
    </w:p>
    <w:p w:rsidR="00DB74D5" w:rsidRPr="00740FBE" w:rsidRDefault="00DB74D5" w:rsidP="00BB452C">
      <w:pPr>
        <w:spacing w:line="240" w:lineRule="auto"/>
        <w:rPr>
          <w:rFonts w:ascii="Helvetica" w:hAnsi="Helvetica" w:cs="Helvetica"/>
        </w:rPr>
      </w:pPr>
    </w:p>
    <w:p w:rsidR="00896977" w:rsidRDefault="002F002E" w:rsidP="00740FBE">
      <w:pPr>
        <w:spacing w:line="240" w:lineRule="auto"/>
        <w:jc w:val="both"/>
        <w:rPr>
          <w:rFonts w:ascii="Helvetica" w:hAnsi="Helvetica" w:cs="Helvetica"/>
        </w:rPr>
      </w:pPr>
      <w:r w:rsidRPr="002F002E">
        <w:rPr>
          <w:rFonts w:ascii="Helvetica" w:hAnsi="Helvetica" w:cs="Helvetica"/>
        </w:rPr>
        <w:t>The discussion should address the research findings without repeating the explanations presented in the results section. It must refer to relevant theories or previous studies to determine whether the current findings contradict or support prior theories or research outcomes. Furthermore, the discussion should clearly highlight the novelty of the results in c</w:t>
      </w:r>
      <w:r>
        <w:rPr>
          <w:rFonts w:ascii="Helvetica" w:hAnsi="Helvetica" w:cs="Helvetica"/>
        </w:rPr>
        <w:t>omparison with previous studies</w:t>
      </w:r>
      <w:r w:rsidR="00896977" w:rsidRPr="00896977">
        <w:rPr>
          <w:rFonts w:ascii="Helvetica" w:hAnsi="Helvetica" w:cs="Helvetica"/>
        </w:rPr>
        <w:t>.</w:t>
      </w:r>
    </w:p>
    <w:p w:rsidR="00740FBE" w:rsidRPr="00740FBE" w:rsidRDefault="00740FBE" w:rsidP="00896977">
      <w:pPr>
        <w:spacing w:line="240" w:lineRule="auto"/>
        <w:ind w:firstLine="340"/>
        <w:jc w:val="both"/>
        <w:rPr>
          <w:rFonts w:ascii="Helvetica" w:hAnsi="Helvetica" w:cs="Helvetica"/>
        </w:rPr>
      </w:pPr>
      <w:r w:rsidRPr="00740FBE">
        <w:rPr>
          <w:rFonts w:ascii="Helvetica" w:hAnsi="Helvetica" w:cs="Helvetica"/>
        </w:rPr>
        <w:t>The results of this study highlight the important interplay between cognitive development and sociocultural context in shaping students’ mathematics performance. The strong influence of mathematical thinking aligns with existing literature emphasizing its role as a foundational component of academic success in mathematics. Students who demonstrate strong reasoning, abstraction, and problem-solving skills are better equipped to handle complex mathematical tasks, supporting theories of cognitive development and mathematical proficiency.</w:t>
      </w:r>
    </w:p>
    <w:p w:rsidR="00740FBE" w:rsidRDefault="00740FBE" w:rsidP="00740FBE">
      <w:pPr>
        <w:spacing w:line="240" w:lineRule="auto"/>
        <w:ind w:firstLine="340"/>
        <w:jc w:val="both"/>
        <w:rPr>
          <w:rFonts w:ascii="Helvetica" w:hAnsi="Helvetica" w:cs="Helvetica"/>
        </w:rPr>
      </w:pPr>
      <w:r w:rsidRPr="00740FBE">
        <w:rPr>
          <w:rFonts w:ascii="Helvetica" w:hAnsi="Helvetica" w:cs="Helvetica"/>
        </w:rPr>
        <w:t xml:space="preserve">Equally important, the findings show that cultural practices serve as meaningful contributors to students’ mathematical understanding. This supports sociocultural learning theories, which argue that knowledge is constructed through interactions with cultural tools, community activities, and shared practices. In the context of this study, exposure to culturally embedded numerical activities appears to strengthen students’ intuitive sense of quantity, patterns, and logical relations. </w:t>
      </w:r>
      <w:bookmarkStart w:id="0" w:name="_GoBack"/>
      <w:bookmarkEnd w:id="0"/>
    </w:p>
    <w:p w:rsidR="00956F74" w:rsidRDefault="00956F74" w:rsidP="00DF29D4">
      <w:pPr>
        <w:spacing w:line="240" w:lineRule="auto"/>
        <w:jc w:val="center"/>
        <w:rPr>
          <w:rFonts w:ascii="Helvetica" w:hAnsi="Helvetica" w:cs="Helvetica"/>
        </w:rPr>
      </w:pPr>
    </w:p>
    <w:p w:rsidR="00DF29D4" w:rsidRDefault="003F1A1D" w:rsidP="00DF29D4">
      <w:pPr>
        <w:spacing w:line="240" w:lineRule="auto"/>
        <w:jc w:val="center"/>
        <w:rPr>
          <w:rFonts w:ascii="Helvetica" w:hAnsi="Helvetica" w:cs="Helvetica"/>
        </w:rPr>
      </w:pPr>
      <w:r>
        <w:rPr>
          <w:rFonts w:ascii="Helvetica" w:hAnsi="Helvetica" w:cs="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4pt;height:180.45pt">
            <v:imagedata r:id="rId8" o:title="PM-removebg-preview"/>
          </v:shape>
        </w:pict>
      </w:r>
    </w:p>
    <w:p w:rsidR="00956F74" w:rsidRDefault="00956F74" w:rsidP="00956F74">
      <w:pPr>
        <w:spacing w:line="240" w:lineRule="auto"/>
        <w:jc w:val="center"/>
        <w:rPr>
          <w:rFonts w:ascii="Helvetica" w:hAnsi="Helvetica" w:cs="Helvetica"/>
        </w:rPr>
      </w:pPr>
      <w:r w:rsidRPr="00956F74">
        <w:rPr>
          <w:rFonts w:ascii="Helvetica" w:hAnsi="Helvetica" w:cs="Helvetica"/>
          <w:b/>
        </w:rPr>
        <w:t>Gambar 2</w:t>
      </w:r>
      <w:r>
        <w:rPr>
          <w:rFonts w:ascii="Helvetica" w:hAnsi="Helvetica" w:cs="Helvetica"/>
        </w:rPr>
        <w:t xml:space="preserve">. </w:t>
      </w:r>
      <w:r w:rsidR="000C30F0" w:rsidRPr="000C30F0">
        <w:rPr>
          <w:rFonts w:ascii="Helvetica" w:hAnsi="Helvetica" w:cs="Helvetica"/>
        </w:rPr>
        <w:t xml:space="preserve">Visualization of </w:t>
      </w:r>
      <w:r w:rsidR="00DE5864" w:rsidRPr="000C30F0">
        <w:rPr>
          <w:rFonts w:ascii="Helvetica" w:hAnsi="Helvetica" w:cs="Helvetica"/>
        </w:rPr>
        <w:t xml:space="preserve">relationships among mathematical thinking, </w:t>
      </w:r>
      <w:r w:rsidR="00DE5864">
        <w:rPr>
          <w:rFonts w:ascii="Helvetica" w:hAnsi="Helvetica" w:cs="Helvetica"/>
        </w:rPr>
        <w:br/>
      </w:r>
      <w:r w:rsidR="00DE5864" w:rsidRPr="000C30F0">
        <w:rPr>
          <w:rFonts w:ascii="Helvetica" w:hAnsi="Helvetica" w:cs="Helvetica"/>
        </w:rPr>
        <w:t>cultural practices, and students’ performance</w:t>
      </w:r>
    </w:p>
    <w:p w:rsidR="00956F74" w:rsidRDefault="00956F74" w:rsidP="00740FBE">
      <w:pPr>
        <w:spacing w:line="240" w:lineRule="auto"/>
        <w:ind w:firstLine="340"/>
        <w:jc w:val="both"/>
        <w:rPr>
          <w:rFonts w:ascii="Helvetica" w:hAnsi="Helvetica" w:cs="Helvetica"/>
        </w:rPr>
      </w:pPr>
    </w:p>
    <w:p w:rsidR="00740FBE" w:rsidRDefault="00740FBE" w:rsidP="00740FBE">
      <w:pPr>
        <w:spacing w:line="240" w:lineRule="auto"/>
        <w:ind w:firstLine="340"/>
        <w:jc w:val="both"/>
        <w:rPr>
          <w:rFonts w:ascii="Helvetica" w:hAnsi="Helvetica" w:cs="Helvetica"/>
        </w:rPr>
      </w:pPr>
      <w:r w:rsidRPr="00740FBE">
        <w:rPr>
          <w:rFonts w:ascii="Helvetica" w:hAnsi="Helvetica" w:cs="Helvetica"/>
        </w:rPr>
        <w:lastRenderedPageBreak/>
        <w:t>The combined influence of mathematical thinking and cultural practices suggests that mathematics learning should not be viewed solely as an individual cognitive process but rather as a holistic experience shaped by both mental abilities and social environments. Thus, educational interventions should consider integrating culturally relevant activities into mathematics instruction, as they can reinforce cognitive skills while also making learning more relatable and meaningful for students.</w:t>
      </w:r>
    </w:p>
    <w:p w:rsidR="00740FBE" w:rsidRPr="00740FBE" w:rsidRDefault="00740FBE" w:rsidP="00740FBE">
      <w:pPr>
        <w:spacing w:line="240" w:lineRule="auto"/>
        <w:ind w:firstLine="340"/>
        <w:jc w:val="both"/>
        <w:rPr>
          <w:rFonts w:ascii="Helvetica" w:hAnsi="Helvetica" w:cs="Helvetica"/>
        </w:rPr>
      </w:pPr>
      <w:r w:rsidRPr="00740FBE">
        <w:rPr>
          <w:rFonts w:ascii="Helvetica" w:hAnsi="Helvetica" w:cs="Helvetica"/>
        </w:rPr>
        <w:t>Overall, the findings imply that enhancing students’ mathematical thinking while leveraging local cultural practices may offer a more comprehensive and effective approach to improving mathematics performance. Future research may explore specific cultural activities that can be systematically integrated into classroom instruction to further enhance students' performance.</w:t>
      </w:r>
    </w:p>
    <w:p w:rsidR="00740FBE" w:rsidRDefault="00740FBE" w:rsidP="00BB452C">
      <w:pPr>
        <w:spacing w:line="240" w:lineRule="auto"/>
        <w:rPr>
          <w:rFonts w:ascii="Helvetica" w:hAnsi="Helvetica" w:cs="Helvetica"/>
        </w:rPr>
      </w:pPr>
    </w:p>
    <w:p w:rsidR="00740FBE" w:rsidRDefault="00740FBE" w:rsidP="00BB452C">
      <w:pPr>
        <w:spacing w:line="240" w:lineRule="auto"/>
        <w:rPr>
          <w:rFonts w:ascii="Helvetica" w:hAnsi="Helvetica" w:cs="Helvetica"/>
        </w:rPr>
      </w:pPr>
    </w:p>
    <w:p w:rsidR="00740FBE" w:rsidRPr="00740FBE" w:rsidRDefault="00740FBE" w:rsidP="00BB452C">
      <w:pPr>
        <w:spacing w:line="240" w:lineRule="auto"/>
        <w:rPr>
          <w:rFonts w:ascii="Helvetica" w:hAnsi="Helvetica" w:cs="Helvetica"/>
        </w:rPr>
      </w:pPr>
    </w:p>
    <w:p w:rsidR="00DB74D5" w:rsidRPr="00A17034" w:rsidRDefault="00DB74D5" w:rsidP="00BB452C">
      <w:pPr>
        <w:pStyle w:val="ListParagraph"/>
        <w:numPr>
          <w:ilvl w:val="0"/>
          <w:numId w:val="1"/>
        </w:numPr>
        <w:spacing w:after="0" w:line="240" w:lineRule="auto"/>
        <w:ind w:left="340" w:hanging="340"/>
        <w:rPr>
          <w:rFonts w:ascii="Helvetica" w:hAnsi="Helvetica" w:cs="Helvetica"/>
          <w:b/>
        </w:rPr>
      </w:pPr>
      <w:r w:rsidRPr="00A17034">
        <w:rPr>
          <w:rFonts w:ascii="Helvetica" w:hAnsi="Helvetica" w:cs="Helvetica"/>
          <w:b/>
        </w:rPr>
        <w:t>CONCLUSION</w:t>
      </w:r>
    </w:p>
    <w:p w:rsidR="00DB74D5" w:rsidRDefault="00DB74D5" w:rsidP="00BB452C">
      <w:pPr>
        <w:spacing w:line="240" w:lineRule="auto"/>
        <w:rPr>
          <w:rFonts w:ascii="Helvetica" w:hAnsi="Helvetica" w:cs="Helvetica"/>
          <w:b/>
        </w:rPr>
      </w:pPr>
    </w:p>
    <w:p w:rsidR="00840310" w:rsidRDefault="001A669D" w:rsidP="00CB1C41">
      <w:pPr>
        <w:spacing w:line="240" w:lineRule="auto"/>
        <w:jc w:val="both"/>
        <w:rPr>
          <w:rFonts w:ascii="Helvetica" w:hAnsi="Helvetica" w:cs="Helvetica"/>
        </w:rPr>
      </w:pPr>
      <w:r w:rsidRPr="001A669D">
        <w:rPr>
          <w:rFonts w:ascii="Helvetica" w:hAnsi="Helvetica" w:cs="Helvetica"/>
        </w:rPr>
        <w:t>The conclusion should be written descriptively, without numbering or bullet points. It must answer the research questions or problems posed in the study. The conclusion should not simply restate sentences from the results or discussion sections; instead, the author should abstract the content of the article in relation to the research questions. This section should also describe the research contributions, acknowledge any limitations of the study, and provide recommendations for future research.</w:t>
      </w:r>
    </w:p>
    <w:p w:rsidR="00CB1C41" w:rsidRDefault="00CB1C41" w:rsidP="00840310">
      <w:pPr>
        <w:spacing w:line="240" w:lineRule="auto"/>
        <w:ind w:firstLine="340"/>
        <w:jc w:val="both"/>
        <w:rPr>
          <w:rFonts w:ascii="Helvetica" w:hAnsi="Helvetica" w:cs="Helvetica"/>
        </w:rPr>
      </w:pPr>
      <w:r w:rsidRPr="00CB1C41">
        <w:rPr>
          <w:rFonts w:ascii="Helvetica" w:hAnsi="Helvetica" w:cs="Helvetica"/>
        </w:rPr>
        <w:t>This study demonstrates that students’ levels of mathematical thinking and the cultural practices embedded in their learning environments play a significant role in shaping their academic performance. The findings indicate that higher-order mathematical thinking skills—such as reasoning, problem-solving, and abstraction—are positively associated with improved achievement across a range of mathematical tasks. At the same time, cultural practices, including community learning norms, familial expectations, and everyday problem-solving traditions, influence how students engage with mathematical concepts and apply them in real-world contexts.</w:t>
      </w:r>
      <w:r w:rsidR="00494340">
        <w:rPr>
          <w:rFonts w:ascii="Helvetica" w:hAnsi="Helvetica" w:cs="Helvetica"/>
        </w:rPr>
        <w:t xml:space="preserve"> </w:t>
      </w:r>
      <w:r w:rsidR="00494340" w:rsidRPr="00CB1C41">
        <w:rPr>
          <w:rFonts w:ascii="Helvetica" w:hAnsi="Helvetica" w:cs="Helvetica"/>
        </w:rPr>
        <w:t>This study demonstrates that students’ levels of mathematical thinking and the cultural practices embedded in their learning environments play a significant role in shaping their academic performance. The findings indicate that higher-order mathematical thinking skills—such as reasoning, problem-solving, and abstraction—are positively associated with improved achievement across a range of mathematical tasks. At the same time, cultural practices, including community learning norms, familial expectations, and everyday problem-solving traditions, influence how students engage with mathematical concepts and apply them in real-world contexts.</w:t>
      </w:r>
    </w:p>
    <w:p w:rsidR="00CB1C41" w:rsidRDefault="00CB1C41" w:rsidP="00CB1C41">
      <w:pPr>
        <w:spacing w:line="240" w:lineRule="auto"/>
        <w:ind w:firstLine="340"/>
        <w:jc w:val="both"/>
        <w:rPr>
          <w:rFonts w:ascii="Helvetica" w:hAnsi="Helvetica" w:cs="Helvetica"/>
        </w:rPr>
      </w:pPr>
      <w:r w:rsidRPr="00CB1C41">
        <w:rPr>
          <w:rFonts w:ascii="Helvetica" w:hAnsi="Helvetica" w:cs="Helvetica"/>
        </w:rPr>
        <w:t>The interplay between cognitive and cultural factors suggests that effective mathematics instruction cannot rely solely on procedural mastery. Instead, it must incorporate strategies that develop deeper conceptual understanding while acknowledging the cultural backgrounds that students bring into the classroom. Integrating culturally responsive pedagogies with activities that promote critical and creative mathematical thinking can enhance students’ motivation, confidence, and overall performance.</w:t>
      </w:r>
      <w:r>
        <w:rPr>
          <w:rFonts w:ascii="Helvetica" w:hAnsi="Helvetica" w:cs="Helvetica"/>
        </w:rPr>
        <w:t xml:space="preserve"> </w:t>
      </w:r>
      <w:r w:rsidRPr="00CB1C41">
        <w:rPr>
          <w:rFonts w:ascii="Helvetica" w:hAnsi="Helvetica" w:cs="Helvetica"/>
        </w:rPr>
        <w:t>Overall, the study underscores the importance of viewing students’ mathematical development as a product of both cognitive growth and cultural experience. Future research should explore how specific cultural elements interact with instructional strategies to support diverse learners, as well as how teachers can best design learning environments that foster both mathematical competence and cultural relevance.</w:t>
      </w:r>
    </w:p>
    <w:p w:rsidR="00CB1C41" w:rsidRDefault="00CB1C41" w:rsidP="00CB1C41">
      <w:pPr>
        <w:spacing w:line="240" w:lineRule="auto"/>
        <w:jc w:val="both"/>
        <w:rPr>
          <w:rFonts w:ascii="Helvetica" w:hAnsi="Helvetica" w:cs="Helvetica"/>
        </w:rPr>
      </w:pPr>
    </w:p>
    <w:p w:rsidR="00CB1C41" w:rsidRPr="00CB1C41" w:rsidRDefault="00CB1C41" w:rsidP="00CB1C41">
      <w:pPr>
        <w:spacing w:line="240" w:lineRule="auto"/>
        <w:jc w:val="both"/>
        <w:rPr>
          <w:rFonts w:ascii="Helvetica" w:hAnsi="Helvetica" w:cs="Helvetica"/>
        </w:rPr>
      </w:pPr>
    </w:p>
    <w:p w:rsidR="00CB1C41" w:rsidRPr="00A17034" w:rsidRDefault="00CB1C41" w:rsidP="00BB452C">
      <w:pPr>
        <w:spacing w:line="240" w:lineRule="auto"/>
        <w:rPr>
          <w:rFonts w:ascii="Helvetica" w:hAnsi="Helvetica" w:cs="Helvetica"/>
          <w:b/>
        </w:rPr>
      </w:pPr>
    </w:p>
    <w:p w:rsidR="00DB74D5" w:rsidRPr="00A17034" w:rsidRDefault="005A4561" w:rsidP="005A4561">
      <w:pPr>
        <w:pStyle w:val="ListParagraph"/>
        <w:numPr>
          <w:ilvl w:val="0"/>
          <w:numId w:val="1"/>
        </w:numPr>
        <w:spacing w:after="0" w:line="240" w:lineRule="auto"/>
        <w:ind w:left="340" w:hanging="340"/>
        <w:rPr>
          <w:rFonts w:ascii="Helvetica" w:hAnsi="Helvetica" w:cs="Helvetica"/>
          <w:b/>
        </w:rPr>
      </w:pPr>
      <w:r w:rsidRPr="005A4561">
        <w:rPr>
          <w:rFonts w:ascii="Helvetica" w:hAnsi="Helvetica" w:cs="Helvetica"/>
          <w:b/>
        </w:rPr>
        <w:lastRenderedPageBreak/>
        <w:t>ACKNOWLEDGEMENT</w:t>
      </w:r>
    </w:p>
    <w:p w:rsidR="00EB279A" w:rsidRPr="00A17034" w:rsidRDefault="00EB279A" w:rsidP="00EB279A">
      <w:pPr>
        <w:spacing w:line="240" w:lineRule="auto"/>
        <w:rPr>
          <w:rFonts w:ascii="Helvetica" w:eastAsiaTheme="minorHAnsi" w:hAnsi="Helvetica" w:cs="Helvetica"/>
          <w:b/>
        </w:rPr>
      </w:pPr>
    </w:p>
    <w:p w:rsidR="00743CB6" w:rsidRDefault="001A669D" w:rsidP="00743CB6">
      <w:pPr>
        <w:spacing w:line="240" w:lineRule="auto"/>
        <w:jc w:val="both"/>
        <w:rPr>
          <w:rFonts w:ascii="Helvetica" w:hAnsi="Helvetica" w:cs="Helvetica"/>
        </w:rPr>
      </w:pPr>
      <w:r w:rsidRPr="001A669D">
        <w:rPr>
          <w:rFonts w:ascii="Helvetica" w:hAnsi="Helvetica" w:cs="Helvetica"/>
        </w:rPr>
        <w:t>In the Acknowledgments section, authors may include the names of funding organizations or institutions involved in the research. Acknowledgments may be given to: (1) parties providing financial assistance and support, (2) departmental and institutional support, and (3) professionals who contributed to the preparation of the research.</w:t>
      </w:r>
    </w:p>
    <w:p w:rsidR="00EB279A" w:rsidRPr="00435620" w:rsidRDefault="00435620" w:rsidP="00743CB6">
      <w:pPr>
        <w:spacing w:line="240" w:lineRule="auto"/>
        <w:ind w:firstLine="340"/>
        <w:jc w:val="both"/>
        <w:rPr>
          <w:rFonts w:ascii="Helvetica" w:hAnsi="Helvetica" w:cs="Helvetica"/>
        </w:rPr>
      </w:pPr>
      <w:r w:rsidRPr="00435620">
        <w:rPr>
          <w:rFonts w:ascii="Helvetica" w:hAnsi="Helvetica" w:cs="Helvetica"/>
        </w:rPr>
        <w:t>The authors would like to express their sincere gratitude to all individuals and institutions that contributed to the completion of this study. Special appreciation is extended to the participating teachers and students whose willingness to share their experiences and insights made this research possible.</w:t>
      </w:r>
      <w:r w:rsidR="00DC0859">
        <w:rPr>
          <w:rFonts w:ascii="Helvetica" w:hAnsi="Helvetica" w:cs="Helvetica"/>
        </w:rPr>
        <w:t xml:space="preserve"> </w:t>
      </w:r>
      <w:r w:rsidR="00DC0859" w:rsidRPr="00DC0859">
        <w:rPr>
          <w:rFonts w:ascii="Helvetica" w:hAnsi="Helvetica" w:cs="Helvetica"/>
        </w:rPr>
        <w:t>The authors also acknowledge the valuable support provided by the School of Mathematics Education and the research committee for facilitating data collection and offering constructive feedback throughout the research process.</w:t>
      </w:r>
      <w:r w:rsidR="00DC0859">
        <w:rPr>
          <w:rFonts w:ascii="Helvetica" w:hAnsi="Helvetica" w:cs="Helvetica"/>
        </w:rPr>
        <w:t xml:space="preserve"> </w:t>
      </w:r>
      <w:r w:rsidR="00DC0859" w:rsidRPr="00DC0859">
        <w:rPr>
          <w:rFonts w:ascii="Helvetica" w:hAnsi="Helvetica" w:cs="Helvetica"/>
        </w:rPr>
        <w:t>We are deeply thankful to our colleagues and reviewers who provided critical comments and suggestions that significantly improved the quality of this manuscript. Lastly, we extend our appreciation to our families and peers for their continuous encouragement and understanding during the development of this work.</w:t>
      </w:r>
    </w:p>
    <w:p w:rsidR="00EB279A" w:rsidRDefault="00EB279A" w:rsidP="00EB279A">
      <w:pPr>
        <w:pStyle w:val="ListParagraph"/>
        <w:rPr>
          <w:rFonts w:ascii="Helvetica" w:hAnsi="Helvetica" w:cs="Helvetica"/>
        </w:rPr>
      </w:pPr>
    </w:p>
    <w:p w:rsidR="00435620" w:rsidRDefault="00435620" w:rsidP="00EB279A">
      <w:pPr>
        <w:pStyle w:val="ListParagraph"/>
        <w:rPr>
          <w:rFonts w:ascii="Helvetica" w:hAnsi="Helvetica" w:cs="Helvetica"/>
        </w:rPr>
      </w:pPr>
    </w:p>
    <w:p w:rsidR="00435620" w:rsidRPr="00435620" w:rsidRDefault="00435620" w:rsidP="00EB279A">
      <w:pPr>
        <w:pStyle w:val="ListParagraph"/>
        <w:rPr>
          <w:rFonts w:ascii="Helvetica" w:hAnsi="Helvetica" w:cs="Helvetica"/>
        </w:rPr>
      </w:pPr>
    </w:p>
    <w:p w:rsidR="00C65BC6" w:rsidRDefault="00C65BC6" w:rsidP="00C65BC6">
      <w:pPr>
        <w:pStyle w:val="ListParagraph"/>
        <w:numPr>
          <w:ilvl w:val="0"/>
          <w:numId w:val="1"/>
        </w:numPr>
        <w:spacing w:after="0" w:line="240" w:lineRule="auto"/>
        <w:ind w:left="340" w:hanging="340"/>
        <w:rPr>
          <w:rFonts w:ascii="Helvetica" w:hAnsi="Helvetica" w:cs="Helvetica"/>
          <w:b/>
        </w:rPr>
      </w:pPr>
      <w:r w:rsidRPr="00C65BC6">
        <w:rPr>
          <w:rFonts w:ascii="Helvetica" w:hAnsi="Helvetica" w:cs="Helvetica"/>
          <w:b/>
        </w:rPr>
        <w:t>DECRALATIONS</w:t>
      </w:r>
    </w:p>
    <w:p w:rsidR="00C65BC6" w:rsidRDefault="00C65BC6" w:rsidP="00C65BC6">
      <w:pPr>
        <w:spacing w:line="240" w:lineRule="auto"/>
        <w:rPr>
          <w:rFonts w:ascii="Helvetica" w:hAnsi="Helvetica" w:cs="Helvetica"/>
        </w:rPr>
      </w:pPr>
    </w:p>
    <w:p w:rsidR="00CB61DC" w:rsidRDefault="00B92FC9" w:rsidP="00CB61DC">
      <w:pPr>
        <w:spacing w:line="240" w:lineRule="auto"/>
        <w:jc w:val="both"/>
        <w:rPr>
          <w:rFonts w:ascii="Helvetica" w:hAnsi="Helvetica" w:cs="Helvetica"/>
        </w:rPr>
      </w:pPr>
      <w:r w:rsidRPr="00B92FC9">
        <w:rPr>
          <w:rFonts w:ascii="Helvetica" w:hAnsi="Helvetica" w:cs="Helvetica"/>
        </w:rPr>
        <w:t>Authors must state that they have no conflict of interest, or provide full details if any conflict exists. All authors confirm that they have read and approved the final version of this manuscript. The contribution of each author to the development of the research should be described in a single paragraph, using only initials followed by a period. Percentages should be used to indicate each author’s contribution (with a total of 100%).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278"/>
        <w:gridCol w:w="5989"/>
      </w:tblGrid>
      <w:tr w:rsidR="00482240" w:rsidTr="00D564AE">
        <w:tc>
          <w:tcPr>
            <w:tcW w:w="1322" w:type="pct"/>
          </w:tcPr>
          <w:p w:rsidR="00482240" w:rsidRDefault="00482240" w:rsidP="00C65BC6">
            <w:pPr>
              <w:rPr>
                <w:rFonts w:ascii="Helvetica" w:hAnsi="Helvetica" w:cs="Helvetica"/>
              </w:rPr>
            </w:pPr>
            <w:r w:rsidRPr="00482240">
              <w:rPr>
                <w:rFonts w:ascii="Helvetica" w:hAnsi="Helvetica" w:cs="Helvetica"/>
              </w:rPr>
              <w:t>Author Contribution</w:t>
            </w:r>
          </w:p>
        </w:tc>
        <w:tc>
          <w:tcPr>
            <w:tcW w:w="153" w:type="pct"/>
          </w:tcPr>
          <w:p w:rsidR="00482240" w:rsidRDefault="00482240" w:rsidP="00C65BC6">
            <w:pPr>
              <w:rPr>
                <w:rFonts w:ascii="Helvetica" w:hAnsi="Helvetica" w:cs="Helvetica"/>
              </w:rPr>
            </w:pPr>
            <w:r>
              <w:rPr>
                <w:rFonts w:ascii="Helvetica" w:hAnsi="Helvetica" w:cs="Helvetica"/>
              </w:rPr>
              <w:t>:</w:t>
            </w:r>
          </w:p>
        </w:tc>
        <w:tc>
          <w:tcPr>
            <w:tcW w:w="3525" w:type="pct"/>
          </w:tcPr>
          <w:p w:rsidR="00482240" w:rsidRDefault="00D564AE" w:rsidP="000D3B95">
            <w:pPr>
              <w:jc w:val="both"/>
              <w:rPr>
                <w:rFonts w:ascii="Helvetica" w:hAnsi="Helvetica" w:cs="Helvetica"/>
              </w:rPr>
            </w:pPr>
            <w:r w:rsidRPr="000A6258">
              <w:rPr>
                <w:rFonts w:ascii="Helvetica" w:hAnsi="Helvetica" w:cs="Helvetica"/>
                <w:b/>
              </w:rPr>
              <w:t>JD</w:t>
            </w:r>
            <w:r>
              <w:rPr>
                <w:rFonts w:ascii="Helvetica" w:hAnsi="Helvetica" w:cs="Helvetica"/>
              </w:rPr>
              <w:t>: Methodology, Writing</w:t>
            </w:r>
            <w:r w:rsidR="00482240" w:rsidRPr="00482240">
              <w:rPr>
                <w:rFonts w:ascii="Helvetica" w:hAnsi="Helvetica" w:cs="Helvetica"/>
              </w:rPr>
              <w:t>–Original Draft</w:t>
            </w:r>
            <w:r>
              <w:rPr>
                <w:rFonts w:ascii="Helvetica" w:hAnsi="Helvetica" w:cs="Helvetica"/>
              </w:rPr>
              <w:t>, Software, Writing</w:t>
            </w:r>
            <w:r w:rsidR="00482240" w:rsidRPr="00482240">
              <w:rPr>
                <w:rFonts w:ascii="Helvetica" w:hAnsi="Helvetica" w:cs="Helvetica"/>
              </w:rPr>
              <w:t>-Review &amp; Editing</w:t>
            </w:r>
            <w:r>
              <w:rPr>
                <w:rFonts w:ascii="Helvetica" w:hAnsi="Helvetica" w:cs="Helvetica"/>
              </w:rPr>
              <w:t xml:space="preserve">, </w:t>
            </w:r>
            <w:r w:rsidR="00482240" w:rsidRPr="00482240">
              <w:rPr>
                <w:rFonts w:ascii="Helvetica" w:hAnsi="Helvetica" w:cs="Helvetica"/>
              </w:rPr>
              <w:t>Conceptualization, Supervision</w:t>
            </w:r>
            <w:r>
              <w:rPr>
                <w:rFonts w:ascii="Helvetica" w:hAnsi="Helvetica" w:cs="Helvetica"/>
              </w:rPr>
              <w:t xml:space="preserve">, </w:t>
            </w:r>
            <w:r w:rsidR="00482240" w:rsidRPr="00482240">
              <w:rPr>
                <w:rFonts w:ascii="Helvetica" w:hAnsi="Helvetica" w:cs="Helvetica"/>
              </w:rPr>
              <w:t>Validation, Project administration;</w:t>
            </w:r>
          </w:p>
          <w:p w:rsidR="00482240" w:rsidRDefault="00D564AE" w:rsidP="00C65BC6">
            <w:pPr>
              <w:rPr>
                <w:rFonts w:ascii="Helvetica" w:hAnsi="Helvetica" w:cs="Helvetica"/>
              </w:rPr>
            </w:pPr>
            <w:r w:rsidRPr="000A6258">
              <w:rPr>
                <w:rFonts w:ascii="Helvetica" w:hAnsi="Helvetica" w:cs="Helvetica"/>
                <w:b/>
              </w:rPr>
              <w:t>JP</w:t>
            </w:r>
            <w:r w:rsidR="00482240" w:rsidRPr="00482240">
              <w:rPr>
                <w:rFonts w:ascii="Helvetica" w:hAnsi="Helvetica" w:cs="Helvetica"/>
              </w:rPr>
              <w:t>: Visualization, Investigation;</w:t>
            </w:r>
          </w:p>
          <w:p w:rsidR="00482240" w:rsidRDefault="00D564AE" w:rsidP="00C65BC6">
            <w:pPr>
              <w:rPr>
                <w:rFonts w:ascii="Helvetica" w:hAnsi="Helvetica" w:cs="Helvetica"/>
              </w:rPr>
            </w:pPr>
            <w:r w:rsidRPr="000A6258">
              <w:rPr>
                <w:rFonts w:ascii="Helvetica" w:hAnsi="Helvetica" w:cs="Helvetica"/>
                <w:b/>
              </w:rPr>
              <w:t>BSB</w:t>
            </w:r>
            <w:r w:rsidR="00482240" w:rsidRPr="00482240">
              <w:rPr>
                <w:rFonts w:ascii="Helvetica" w:hAnsi="Helvetica" w:cs="Helvetica"/>
              </w:rPr>
              <w:t>: Writing –Review &amp; Editting</w:t>
            </w:r>
          </w:p>
        </w:tc>
      </w:tr>
      <w:tr w:rsidR="00482240" w:rsidTr="00D564AE">
        <w:tc>
          <w:tcPr>
            <w:tcW w:w="1322" w:type="pct"/>
          </w:tcPr>
          <w:p w:rsidR="00482240" w:rsidRDefault="00482240" w:rsidP="00C65BC6">
            <w:pPr>
              <w:rPr>
                <w:rFonts w:ascii="Helvetica" w:hAnsi="Helvetica" w:cs="Helvetica"/>
              </w:rPr>
            </w:pPr>
            <w:r w:rsidRPr="00482240">
              <w:rPr>
                <w:rFonts w:ascii="Helvetica" w:hAnsi="Helvetica" w:cs="Helvetica"/>
              </w:rPr>
              <w:t>Funding Statement</w:t>
            </w:r>
          </w:p>
        </w:tc>
        <w:tc>
          <w:tcPr>
            <w:tcW w:w="153" w:type="pct"/>
          </w:tcPr>
          <w:p w:rsidR="00482240" w:rsidRDefault="00482240" w:rsidP="00C65BC6">
            <w:pPr>
              <w:rPr>
                <w:rFonts w:ascii="Helvetica" w:hAnsi="Helvetica" w:cs="Helvetica"/>
              </w:rPr>
            </w:pPr>
            <w:r>
              <w:rPr>
                <w:rFonts w:ascii="Helvetica" w:hAnsi="Helvetica" w:cs="Helvetica"/>
              </w:rPr>
              <w:t>:</w:t>
            </w:r>
          </w:p>
        </w:tc>
        <w:tc>
          <w:tcPr>
            <w:tcW w:w="3525" w:type="pct"/>
          </w:tcPr>
          <w:p w:rsidR="00482240" w:rsidRDefault="00482240" w:rsidP="00D564AE">
            <w:pPr>
              <w:jc w:val="both"/>
              <w:rPr>
                <w:rFonts w:ascii="Helvetica" w:hAnsi="Helvetica" w:cs="Helvetica"/>
              </w:rPr>
            </w:pPr>
            <w:r w:rsidRPr="00482240">
              <w:rPr>
                <w:rFonts w:ascii="Helvetica" w:hAnsi="Helvetica" w:cs="Helvetica"/>
              </w:rPr>
              <w:t>This research was funded by the FKIP Universitas Jambi for supporting and funding this research.</w:t>
            </w:r>
          </w:p>
        </w:tc>
      </w:tr>
      <w:tr w:rsidR="00482240" w:rsidTr="00D564AE">
        <w:tc>
          <w:tcPr>
            <w:tcW w:w="1322" w:type="pct"/>
          </w:tcPr>
          <w:p w:rsidR="00482240" w:rsidRDefault="00482240" w:rsidP="00C65BC6">
            <w:pPr>
              <w:rPr>
                <w:rFonts w:ascii="Helvetica" w:hAnsi="Helvetica" w:cs="Helvetica"/>
              </w:rPr>
            </w:pPr>
            <w:r w:rsidRPr="00482240">
              <w:rPr>
                <w:rFonts w:ascii="Helvetica" w:hAnsi="Helvetica" w:cs="Helvetica"/>
              </w:rPr>
              <w:t>Conflict of Interest</w:t>
            </w:r>
          </w:p>
        </w:tc>
        <w:tc>
          <w:tcPr>
            <w:tcW w:w="153" w:type="pct"/>
          </w:tcPr>
          <w:p w:rsidR="00482240" w:rsidRDefault="00482240" w:rsidP="00C65BC6">
            <w:pPr>
              <w:rPr>
                <w:rFonts w:ascii="Helvetica" w:hAnsi="Helvetica" w:cs="Helvetica"/>
              </w:rPr>
            </w:pPr>
            <w:r>
              <w:rPr>
                <w:rFonts w:ascii="Helvetica" w:hAnsi="Helvetica" w:cs="Helvetica"/>
              </w:rPr>
              <w:t>:</w:t>
            </w:r>
          </w:p>
        </w:tc>
        <w:tc>
          <w:tcPr>
            <w:tcW w:w="3525" w:type="pct"/>
          </w:tcPr>
          <w:p w:rsidR="00482240" w:rsidRDefault="00482240" w:rsidP="00C65BC6">
            <w:pPr>
              <w:rPr>
                <w:rFonts w:ascii="Helvetica" w:hAnsi="Helvetica" w:cs="Helvetica"/>
              </w:rPr>
            </w:pPr>
            <w:r w:rsidRPr="00482240">
              <w:rPr>
                <w:rFonts w:ascii="Helvetica" w:hAnsi="Helvetica" w:cs="Helvetica"/>
              </w:rPr>
              <w:t>The authors declare no conflict of interest.</w:t>
            </w:r>
          </w:p>
        </w:tc>
      </w:tr>
      <w:tr w:rsidR="00482240" w:rsidTr="00D564AE">
        <w:tc>
          <w:tcPr>
            <w:tcW w:w="1322" w:type="pct"/>
          </w:tcPr>
          <w:p w:rsidR="00482240" w:rsidRDefault="00482240" w:rsidP="00C65BC6">
            <w:pPr>
              <w:rPr>
                <w:rFonts w:ascii="Helvetica" w:hAnsi="Helvetica" w:cs="Helvetica"/>
              </w:rPr>
            </w:pPr>
            <w:r w:rsidRPr="00482240">
              <w:rPr>
                <w:rFonts w:ascii="Helvetica" w:hAnsi="Helvetica" w:cs="Helvetica"/>
              </w:rPr>
              <w:t>Additional Information</w:t>
            </w:r>
          </w:p>
        </w:tc>
        <w:tc>
          <w:tcPr>
            <w:tcW w:w="153" w:type="pct"/>
          </w:tcPr>
          <w:p w:rsidR="00482240" w:rsidRDefault="00482240" w:rsidP="00C65BC6">
            <w:pPr>
              <w:rPr>
                <w:rFonts w:ascii="Helvetica" w:hAnsi="Helvetica" w:cs="Helvetica"/>
              </w:rPr>
            </w:pPr>
            <w:r>
              <w:rPr>
                <w:rFonts w:ascii="Helvetica" w:hAnsi="Helvetica" w:cs="Helvetica"/>
              </w:rPr>
              <w:t>:</w:t>
            </w:r>
          </w:p>
        </w:tc>
        <w:tc>
          <w:tcPr>
            <w:tcW w:w="3525" w:type="pct"/>
          </w:tcPr>
          <w:p w:rsidR="00482240" w:rsidRDefault="00482240" w:rsidP="00C65BC6">
            <w:pPr>
              <w:rPr>
                <w:rFonts w:ascii="Helvetica" w:hAnsi="Helvetica" w:cs="Helvetica"/>
              </w:rPr>
            </w:pPr>
            <w:r w:rsidRPr="00482240">
              <w:rPr>
                <w:rFonts w:ascii="Helvetica" w:hAnsi="Helvetica" w:cs="Helvetica"/>
              </w:rPr>
              <w:t>Additional information is available for this paper.</w:t>
            </w:r>
          </w:p>
        </w:tc>
      </w:tr>
    </w:tbl>
    <w:p w:rsidR="00482240" w:rsidRDefault="00482240" w:rsidP="00C65BC6">
      <w:pPr>
        <w:spacing w:line="240" w:lineRule="auto"/>
        <w:rPr>
          <w:rFonts w:ascii="Helvetica" w:hAnsi="Helvetica" w:cs="Helvetica"/>
        </w:rPr>
      </w:pPr>
    </w:p>
    <w:p w:rsidR="00482240" w:rsidRDefault="00482240" w:rsidP="00C65BC6">
      <w:pPr>
        <w:spacing w:line="240" w:lineRule="auto"/>
        <w:rPr>
          <w:rFonts w:ascii="Helvetica" w:hAnsi="Helvetica" w:cs="Helvetica"/>
        </w:rPr>
      </w:pPr>
    </w:p>
    <w:p w:rsidR="00C65BC6" w:rsidRPr="00C65BC6" w:rsidRDefault="00C65BC6" w:rsidP="00C65BC6">
      <w:pPr>
        <w:spacing w:line="240" w:lineRule="auto"/>
        <w:rPr>
          <w:rFonts w:ascii="Helvetica" w:hAnsi="Helvetica" w:cs="Helvetica"/>
        </w:rPr>
      </w:pPr>
    </w:p>
    <w:p w:rsidR="00DB74D5" w:rsidRDefault="00DB74D5" w:rsidP="00BB452C">
      <w:pPr>
        <w:pStyle w:val="ListParagraph"/>
        <w:numPr>
          <w:ilvl w:val="0"/>
          <w:numId w:val="1"/>
        </w:numPr>
        <w:spacing w:after="0" w:line="240" w:lineRule="auto"/>
        <w:ind w:left="340" w:hanging="340"/>
        <w:rPr>
          <w:rFonts w:ascii="Helvetica" w:hAnsi="Helvetica" w:cs="Helvetica"/>
          <w:b/>
        </w:rPr>
      </w:pPr>
      <w:r w:rsidRPr="00A17034">
        <w:rPr>
          <w:rFonts w:ascii="Helvetica" w:hAnsi="Helvetica" w:cs="Helvetica"/>
          <w:b/>
        </w:rPr>
        <w:t>REFERENCES</w:t>
      </w:r>
    </w:p>
    <w:p w:rsidR="00435620" w:rsidRPr="003020CE" w:rsidRDefault="00435620" w:rsidP="00AC76CF">
      <w:pPr>
        <w:spacing w:line="240" w:lineRule="auto"/>
        <w:jc w:val="both"/>
        <w:rPr>
          <w:rFonts w:ascii="Helvetica" w:hAnsi="Helvetica" w:cs="Helvetica"/>
        </w:rPr>
      </w:pPr>
    </w:p>
    <w:p w:rsidR="003020CE" w:rsidRPr="003020CE" w:rsidRDefault="00BC658C" w:rsidP="00AC76CF">
      <w:pPr>
        <w:spacing w:line="240" w:lineRule="auto"/>
        <w:jc w:val="both"/>
        <w:rPr>
          <w:rFonts w:ascii="Helvetica" w:hAnsi="Helvetica" w:cs="Helvetica"/>
        </w:rPr>
      </w:pPr>
      <w:r w:rsidRPr="00BC658C">
        <w:rPr>
          <w:rFonts w:ascii="Helvetica" w:hAnsi="Helvetica" w:cs="Helvetica"/>
        </w:rPr>
        <w:t>The References section must include all references cited in the manuscript, listed in alphabetical order and typed in single spacing. All references cited in the manuscript must appear in the Ref</w:t>
      </w:r>
      <w:r>
        <w:rPr>
          <w:rFonts w:ascii="Helvetica" w:hAnsi="Helvetica" w:cs="Helvetica"/>
        </w:rPr>
        <w:t>erences section, and vice versa</w:t>
      </w:r>
      <w:r w:rsidR="003020CE" w:rsidRPr="003020CE">
        <w:rPr>
          <w:rFonts w:ascii="Helvetica" w:hAnsi="Helvetica" w:cs="Helvetica"/>
        </w:rPr>
        <w:t xml:space="preserve">. </w:t>
      </w:r>
      <w:r w:rsidRPr="00BC658C">
        <w:rPr>
          <w:rFonts w:ascii="Helvetica" w:hAnsi="Helvetica" w:cs="Helvetica"/>
        </w:rPr>
        <w:t>Reference management applications such as MENDELEY, ZOTERO or ENDNOTE</w:t>
      </w:r>
      <w:r w:rsidR="003020CE">
        <w:rPr>
          <w:rFonts w:ascii="Helvetica" w:hAnsi="Helvetica" w:cs="Helvetica"/>
        </w:rPr>
        <w:t xml:space="preserve">. </w:t>
      </w:r>
      <w:r w:rsidRPr="00BC658C">
        <w:rPr>
          <w:rFonts w:ascii="Helvetica" w:hAnsi="Helvetica" w:cs="Helvetica"/>
        </w:rPr>
        <w:t>A minimum of 20 references should be used, consisting of at least 80% from journal articles and the remainder from other sources. Authors must also input all references used into the OJS system. References and in-text citations must follow the APA Style 7th edition, as illustrated in the following example</w:t>
      </w:r>
      <w:r w:rsidR="000D3B95">
        <w:rPr>
          <w:rFonts w:ascii="Helvetica" w:hAnsi="Helvetica" w:cs="Helvetica"/>
        </w:rPr>
        <w:t>.</w:t>
      </w:r>
    </w:p>
    <w:p w:rsidR="003020CE" w:rsidRPr="003020CE" w:rsidRDefault="003020CE" w:rsidP="00AC76CF">
      <w:pPr>
        <w:spacing w:line="240" w:lineRule="auto"/>
        <w:jc w:val="both"/>
        <w:rPr>
          <w:rFonts w:ascii="Helvetica" w:hAnsi="Helvetica" w:cs="Helvetica"/>
        </w:rPr>
      </w:pPr>
    </w:p>
    <w:p w:rsidR="00AC76CF" w:rsidRPr="00E948E6" w:rsidRDefault="00AC76CF" w:rsidP="00AC76CF">
      <w:pPr>
        <w:spacing w:line="240" w:lineRule="auto"/>
        <w:ind w:left="454" w:hanging="454"/>
        <w:jc w:val="both"/>
        <w:rPr>
          <w:rFonts w:ascii="Helvetica" w:hAnsi="Helvetica" w:cs="Helvetica"/>
          <w:shd w:val="clear" w:color="auto" w:fill="FFFFFF"/>
        </w:rPr>
      </w:pPr>
      <w:r w:rsidRPr="00E948E6">
        <w:rPr>
          <w:rFonts w:ascii="Helvetica" w:hAnsi="Helvetica" w:cs="Helvetica"/>
          <w:shd w:val="clear" w:color="auto" w:fill="FFFFFF"/>
        </w:rPr>
        <w:lastRenderedPageBreak/>
        <w:t xml:space="preserve">Alghadari, F., Arisha, B., Hidayah, N., Saparuddin, S., &amp; Dharma, B. E. (2025). Uncovering </w:t>
      </w:r>
      <w:r w:rsidR="008A79E6" w:rsidRPr="00E948E6">
        <w:rPr>
          <w:rFonts w:ascii="Helvetica" w:hAnsi="Helvetica" w:cs="Helvetica"/>
          <w:shd w:val="clear" w:color="auto" w:fill="FFFFFF"/>
        </w:rPr>
        <w:t xml:space="preserve">gaps in deductive geometry thinking: </w:t>
      </w:r>
      <w:r w:rsidR="001916A1">
        <w:rPr>
          <w:rFonts w:ascii="Helvetica" w:hAnsi="Helvetica" w:cs="Helvetica"/>
          <w:shd w:val="clear" w:color="auto" w:fill="FFFFFF"/>
        </w:rPr>
        <w:t>R</w:t>
      </w:r>
      <w:r w:rsidR="008A79E6" w:rsidRPr="00E948E6">
        <w:rPr>
          <w:rFonts w:ascii="Helvetica" w:hAnsi="Helvetica" w:cs="Helvetica"/>
          <w:shd w:val="clear" w:color="auto" w:fill="FFFFFF"/>
        </w:rPr>
        <w:t>asch-based evidence from students’ work on quadratic functions</w:t>
      </w:r>
      <w:r w:rsidRPr="00E948E6">
        <w:rPr>
          <w:rFonts w:ascii="Helvetica" w:hAnsi="Helvetica" w:cs="Helvetica"/>
          <w:shd w:val="clear" w:color="auto" w:fill="FFFFFF"/>
        </w:rPr>
        <w:t>. </w:t>
      </w:r>
      <w:r w:rsidRPr="00E948E6">
        <w:rPr>
          <w:rFonts w:ascii="Helvetica" w:hAnsi="Helvetica" w:cs="Helvetica"/>
          <w:i/>
          <w:iCs/>
          <w:shd w:val="clear" w:color="auto" w:fill="FFFFFF"/>
        </w:rPr>
        <w:t>Journal of Instructional Mathematics</w:t>
      </w:r>
      <w:r w:rsidRPr="00E948E6">
        <w:rPr>
          <w:rFonts w:ascii="Helvetica" w:hAnsi="Helvetica" w:cs="Helvetica"/>
          <w:shd w:val="clear" w:color="auto" w:fill="FFFFFF"/>
        </w:rPr>
        <w:t>, </w:t>
      </w:r>
      <w:r w:rsidRPr="00E948E6">
        <w:rPr>
          <w:rFonts w:ascii="Helvetica" w:hAnsi="Helvetica" w:cs="Helvetica"/>
          <w:i/>
          <w:iCs/>
          <w:shd w:val="clear" w:color="auto" w:fill="FFFFFF"/>
        </w:rPr>
        <w:t>6</w:t>
      </w:r>
      <w:r w:rsidRPr="00E948E6">
        <w:rPr>
          <w:rFonts w:ascii="Helvetica" w:hAnsi="Helvetica" w:cs="Helvetica"/>
          <w:shd w:val="clear" w:color="auto" w:fill="FFFFFF"/>
        </w:rPr>
        <w:t>(2), 117-129.</w:t>
      </w:r>
      <w:r w:rsidR="00A64B3F">
        <w:rPr>
          <w:rFonts w:ascii="Helvetica" w:hAnsi="Helvetica" w:cs="Helvetica"/>
          <w:shd w:val="clear" w:color="auto" w:fill="FFFFFF"/>
        </w:rPr>
        <w:t xml:space="preserve"> </w:t>
      </w:r>
      <w:r w:rsidR="00A64B3F" w:rsidRPr="00A64B3F">
        <w:rPr>
          <w:rFonts w:ascii="Helvetica" w:hAnsi="Helvetica" w:cs="Helvetica"/>
          <w:shd w:val="clear" w:color="auto" w:fill="FFFFFF"/>
        </w:rPr>
        <w:t>https://doi.org/10.37640/jim.v6i2.2510</w:t>
      </w:r>
    </w:p>
    <w:p w:rsidR="00E948E6" w:rsidRPr="00E948E6" w:rsidRDefault="00E948E6" w:rsidP="00AC76CF">
      <w:pPr>
        <w:spacing w:line="240" w:lineRule="auto"/>
        <w:ind w:left="454" w:hanging="454"/>
        <w:jc w:val="both"/>
        <w:rPr>
          <w:rFonts w:ascii="Helvetica" w:hAnsi="Helvetica" w:cs="Helvetica"/>
          <w:shd w:val="clear" w:color="auto" w:fill="FFFFFF"/>
        </w:rPr>
      </w:pPr>
      <w:r w:rsidRPr="00E948E6">
        <w:rPr>
          <w:rFonts w:ascii="Helvetica" w:hAnsi="Helvetica" w:cs="Helvetica"/>
          <w:shd w:val="clear" w:color="auto" w:fill="FFFFFF"/>
        </w:rPr>
        <w:t xml:space="preserve">Gustiningsi, T., &amp; Putri, R. I. I. (2024). LEPscO: Mathematical literacy learning environment for the" Guru Penggerak" </w:t>
      </w:r>
      <w:r>
        <w:rPr>
          <w:rFonts w:ascii="Helvetica" w:hAnsi="Helvetica" w:cs="Helvetica"/>
          <w:shd w:val="clear" w:color="auto" w:fill="FFFFFF"/>
        </w:rPr>
        <w:t>p</w:t>
      </w:r>
      <w:r w:rsidRPr="00E948E6">
        <w:rPr>
          <w:rFonts w:ascii="Helvetica" w:hAnsi="Helvetica" w:cs="Helvetica"/>
          <w:shd w:val="clear" w:color="auto" w:fill="FFFFFF"/>
        </w:rPr>
        <w:t>rogram. </w:t>
      </w:r>
      <w:r w:rsidRPr="00E948E6">
        <w:rPr>
          <w:rFonts w:ascii="Helvetica" w:hAnsi="Helvetica" w:cs="Helvetica"/>
          <w:i/>
          <w:iCs/>
          <w:shd w:val="clear" w:color="auto" w:fill="FFFFFF"/>
        </w:rPr>
        <w:t>Journal on Mathematics Education</w:t>
      </w:r>
      <w:r w:rsidRPr="00E948E6">
        <w:rPr>
          <w:rFonts w:ascii="Helvetica" w:hAnsi="Helvetica" w:cs="Helvetica"/>
          <w:shd w:val="clear" w:color="auto" w:fill="FFFFFF"/>
        </w:rPr>
        <w:t>, </w:t>
      </w:r>
      <w:r w:rsidRPr="00E948E6">
        <w:rPr>
          <w:rFonts w:ascii="Helvetica" w:hAnsi="Helvetica" w:cs="Helvetica"/>
          <w:i/>
          <w:iCs/>
          <w:shd w:val="clear" w:color="auto" w:fill="FFFFFF"/>
        </w:rPr>
        <w:t>15</w:t>
      </w:r>
      <w:r w:rsidRPr="00E948E6">
        <w:rPr>
          <w:rFonts w:ascii="Helvetica" w:hAnsi="Helvetica" w:cs="Helvetica"/>
          <w:shd w:val="clear" w:color="auto" w:fill="FFFFFF"/>
        </w:rPr>
        <w:t>(2), 661-682.</w:t>
      </w:r>
      <w:r w:rsidR="008D6689">
        <w:rPr>
          <w:rFonts w:ascii="Helvetica" w:hAnsi="Helvetica" w:cs="Helvetica"/>
          <w:shd w:val="clear" w:color="auto" w:fill="FFFFFF"/>
        </w:rPr>
        <w:t xml:space="preserve"> </w:t>
      </w:r>
      <w:r w:rsidR="008D6689" w:rsidRPr="008D6689">
        <w:rPr>
          <w:rFonts w:ascii="Helvetica" w:hAnsi="Helvetica" w:cs="Helvetica"/>
          <w:shd w:val="clear" w:color="auto" w:fill="FFFFFF"/>
        </w:rPr>
        <w:t>https://doi.org/10.22342/jme.v15i2.pp661-682</w:t>
      </w:r>
    </w:p>
    <w:p w:rsidR="00435620" w:rsidRPr="00E948E6" w:rsidRDefault="00AC76CF" w:rsidP="00AC76CF">
      <w:pPr>
        <w:spacing w:line="240" w:lineRule="auto"/>
        <w:ind w:left="454" w:hanging="454"/>
        <w:jc w:val="both"/>
        <w:rPr>
          <w:rFonts w:ascii="Helvetica" w:hAnsi="Helvetica" w:cs="Helvetica"/>
          <w:shd w:val="clear" w:color="auto" w:fill="FFFFFF"/>
        </w:rPr>
      </w:pPr>
      <w:r w:rsidRPr="00E948E6">
        <w:rPr>
          <w:rFonts w:ascii="Helvetica" w:hAnsi="Helvetica" w:cs="Helvetica"/>
          <w:shd w:val="clear" w:color="auto" w:fill="FFFFFF"/>
        </w:rPr>
        <w:t>Nusantara, D. S., Ibarra, F. P., Pasaribu, F. T., &amp; Lusinda, U. (2025). Designing JUMPISA: A PISA-</w:t>
      </w:r>
      <w:r w:rsidR="008A79E6" w:rsidRPr="00E948E6">
        <w:rPr>
          <w:rFonts w:ascii="Helvetica" w:hAnsi="Helvetica" w:cs="Helvetica"/>
          <w:shd w:val="clear" w:color="auto" w:fill="FFFFFF"/>
        </w:rPr>
        <w:t>based jumping task to support students’ statistical literacy using jambi context</w:t>
      </w:r>
      <w:r w:rsidRPr="00E948E6">
        <w:rPr>
          <w:rFonts w:ascii="Helvetica" w:hAnsi="Helvetica" w:cs="Helvetica"/>
          <w:shd w:val="clear" w:color="auto" w:fill="FFFFFF"/>
        </w:rPr>
        <w:t>. </w:t>
      </w:r>
      <w:r w:rsidRPr="00E948E6">
        <w:rPr>
          <w:rFonts w:ascii="Helvetica" w:hAnsi="Helvetica" w:cs="Helvetica"/>
          <w:i/>
          <w:iCs/>
          <w:shd w:val="clear" w:color="auto" w:fill="FFFFFF"/>
        </w:rPr>
        <w:t>Journal of Instructional Mathematics</w:t>
      </w:r>
      <w:r w:rsidRPr="00E948E6">
        <w:rPr>
          <w:rFonts w:ascii="Helvetica" w:hAnsi="Helvetica" w:cs="Helvetica"/>
          <w:shd w:val="clear" w:color="auto" w:fill="FFFFFF"/>
        </w:rPr>
        <w:t>, </w:t>
      </w:r>
      <w:r w:rsidRPr="00E948E6">
        <w:rPr>
          <w:rFonts w:ascii="Helvetica" w:hAnsi="Helvetica" w:cs="Helvetica"/>
          <w:i/>
          <w:iCs/>
          <w:shd w:val="clear" w:color="auto" w:fill="FFFFFF"/>
        </w:rPr>
        <w:t>6</w:t>
      </w:r>
      <w:r w:rsidRPr="00E948E6">
        <w:rPr>
          <w:rFonts w:ascii="Helvetica" w:hAnsi="Helvetica" w:cs="Helvetica"/>
          <w:shd w:val="clear" w:color="auto" w:fill="FFFFFF"/>
        </w:rPr>
        <w:t>(2), 96-116.</w:t>
      </w:r>
      <w:r w:rsidR="00A64B3F">
        <w:rPr>
          <w:rFonts w:ascii="Helvetica" w:hAnsi="Helvetica" w:cs="Helvetica"/>
          <w:shd w:val="clear" w:color="auto" w:fill="FFFFFF"/>
        </w:rPr>
        <w:t xml:space="preserve"> </w:t>
      </w:r>
      <w:r w:rsidR="00A64B3F" w:rsidRPr="00A64B3F">
        <w:rPr>
          <w:rFonts w:ascii="Helvetica" w:hAnsi="Helvetica" w:cs="Helvetica"/>
          <w:shd w:val="clear" w:color="auto" w:fill="FFFFFF"/>
        </w:rPr>
        <w:t>https://doi.org/10.37640/jim.v6i2.2518</w:t>
      </w:r>
    </w:p>
    <w:p w:rsidR="00AC76CF" w:rsidRPr="00E948E6" w:rsidRDefault="00AC76CF" w:rsidP="00AC76CF">
      <w:pPr>
        <w:spacing w:line="240" w:lineRule="auto"/>
        <w:ind w:left="454" w:hanging="454"/>
        <w:jc w:val="both"/>
        <w:rPr>
          <w:rFonts w:ascii="Helvetica" w:hAnsi="Helvetica" w:cs="Helvetica"/>
          <w:shd w:val="clear" w:color="auto" w:fill="FFFFFF"/>
        </w:rPr>
      </w:pPr>
      <w:r w:rsidRPr="00E948E6">
        <w:rPr>
          <w:rFonts w:ascii="Helvetica" w:hAnsi="Helvetica" w:cs="Helvetica"/>
          <w:shd w:val="clear" w:color="auto" w:fill="FFFFFF"/>
        </w:rPr>
        <w:t>Rohati, R., Kusumah, Y. S., &amp; Kusnandi, K. (2023). Exploring students’ mathematical reasoning behavior in junior high schools: A grounded theory. </w:t>
      </w:r>
      <w:r w:rsidRPr="00E948E6">
        <w:rPr>
          <w:rFonts w:ascii="Helvetica" w:hAnsi="Helvetica" w:cs="Helvetica"/>
          <w:i/>
          <w:iCs/>
          <w:shd w:val="clear" w:color="auto" w:fill="FFFFFF"/>
        </w:rPr>
        <w:t>Education Sciences</w:t>
      </w:r>
      <w:r w:rsidRPr="00E948E6">
        <w:rPr>
          <w:rFonts w:ascii="Helvetica" w:hAnsi="Helvetica" w:cs="Helvetica"/>
          <w:shd w:val="clear" w:color="auto" w:fill="FFFFFF"/>
        </w:rPr>
        <w:t>, </w:t>
      </w:r>
      <w:r w:rsidRPr="00E948E6">
        <w:rPr>
          <w:rFonts w:ascii="Helvetica" w:hAnsi="Helvetica" w:cs="Helvetica"/>
          <w:i/>
          <w:iCs/>
          <w:shd w:val="clear" w:color="auto" w:fill="FFFFFF"/>
        </w:rPr>
        <w:t>13</w:t>
      </w:r>
      <w:r w:rsidRPr="00E948E6">
        <w:rPr>
          <w:rFonts w:ascii="Helvetica" w:hAnsi="Helvetica" w:cs="Helvetica"/>
          <w:shd w:val="clear" w:color="auto" w:fill="FFFFFF"/>
        </w:rPr>
        <w:t>(3), 252.</w:t>
      </w:r>
      <w:r w:rsidR="008D6689">
        <w:rPr>
          <w:rFonts w:ascii="Helvetica" w:hAnsi="Helvetica" w:cs="Helvetica"/>
          <w:shd w:val="clear" w:color="auto" w:fill="FFFFFF"/>
        </w:rPr>
        <w:t xml:space="preserve"> </w:t>
      </w:r>
      <w:r w:rsidR="008D6689" w:rsidRPr="008D6689">
        <w:rPr>
          <w:rFonts w:ascii="Helvetica" w:hAnsi="Helvetica" w:cs="Helvetica"/>
          <w:shd w:val="clear" w:color="auto" w:fill="FFFFFF"/>
        </w:rPr>
        <w:t>https://doi.org/10.3390/educsci13030252</w:t>
      </w:r>
    </w:p>
    <w:p w:rsidR="00AC76CF" w:rsidRPr="00AC76CF" w:rsidRDefault="00AC76CF" w:rsidP="00AC76CF">
      <w:pPr>
        <w:spacing w:line="240" w:lineRule="auto"/>
        <w:ind w:left="454" w:hanging="454"/>
        <w:jc w:val="both"/>
        <w:rPr>
          <w:rFonts w:ascii="Helvetica" w:hAnsi="Helvetica" w:cs="Helvetica"/>
          <w:szCs w:val="20"/>
          <w:shd w:val="clear" w:color="auto" w:fill="FFFFFF"/>
        </w:rPr>
      </w:pPr>
      <w:r w:rsidRPr="00E948E6">
        <w:rPr>
          <w:rFonts w:ascii="Helvetica" w:hAnsi="Helvetica" w:cs="Helvetica"/>
          <w:shd w:val="clear" w:color="auto" w:fill="FFFFFF"/>
        </w:rPr>
        <w:t>Sainuddin, S., Subali, B., Jailani</w:t>
      </w:r>
      <w:r w:rsidRPr="00AC76CF">
        <w:rPr>
          <w:rFonts w:ascii="Helvetica" w:hAnsi="Helvetica" w:cs="Helvetica"/>
          <w:szCs w:val="20"/>
          <w:shd w:val="clear" w:color="auto" w:fill="FFFFFF"/>
        </w:rPr>
        <w:t xml:space="preserve">, J., &amp; Elvira, M. (2022). The development and validation prospective mathematics </w:t>
      </w:r>
      <w:proofErr w:type="gramStart"/>
      <w:r w:rsidRPr="00AC76CF">
        <w:rPr>
          <w:rFonts w:ascii="Helvetica" w:hAnsi="Helvetica" w:cs="Helvetica"/>
          <w:szCs w:val="20"/>
          <w:shd w:val="clear" w:color="auto" w:fill="FFFFFF"/>
        </w:rPr>
        <w:t>teachers</w:t>
      </w:r>
      <w:proofErr w:type="gramEnd"/>
      <w:r w:rsidRPr="00AC76CF">
        <w:rPr>
          <w:rFonts w:ascii="Helvetica" w:hAnsi="Helvetica" w:cs="Helvetica"/>
          <w:szCs w:val="20"/>
          <w:shd w:val="clear" w:color="auto" w:fill="FFFFFF"/>
        </w:rPr>
        <w:t xml:space="preserve"> holistic assessment tools. </w:t>
      </w:r>
      <w:r w:rsidRPr="00AC76CF">
        <w:rPr>
          <w:rFonts w:ascii="Helvetica" w:hAnsi="Helvetica" w:cs="Helvetica"/>
          <w:i/>
          <w:iCs/>
          <w:szCs w:val="20"/>
          <w:shd w:val="clear" w:color="auto" w:fill="FFFFFF"/>
        </w:rPr>
        <w:t>Ingénierie des Systèmes d’Information</w:t>
      </w:r>
      <w:r w:rsidRPr="00AC76CF">
        <w:rPr>
          <w:rFonts w:ascii="Helvetica" w:hAnsi="Helvetica" w:cs="Helvetica"/>
          <w:szCs w:val="20"/>
          <w:shd w:val="clear" w:color="auto" w:fill="FFFFFF"/>
        </w:rPr>
        <w:t>, </w:t>
      </w:r>
      <w:r w:rsidRPr="00AC76CF">
        <w:rPr>
          <w:rFonts w:ascii="Helvetica" w:hAnsi="Helvetica" w:cs="Helvetica"/>
          <w:i/>
          <w:iCs/>
          <w:szCs w:val="20"/>
          <w:shd w:val="clear" w:color="auto" w:fill="FFFFFF"/>
        </w:rPr>
        <w:t>27</w:t>
      </w:r>
      <w:r w:rsidRPr="00AC76CF">
        <w:rPr>
          <w:rFonts w:ascii="Helvetica" w:hAnsi="Helvetica" w:cs="Helvetica"/>
          <w:szCs w:val="20"/>
          <w:shd w:val="clear" w:color="auto" w:fill="FFFFFF"/>
        </w:rPr>
        <w:t>(2), 171-184.</w:t>
      </w:r>
      <w:r w:rsidR="00415AAF">
        <w:rPr>
          <w:rFonts w:ascii="Helvetica" w:hAnsi="Helvetica" w:cs="Helvetica"/>
          <w:szCs w:val="20"/>
          <w:shd w:val="clear" w:color="auto" w:fill="FFFFFF"/>
        </w:rPr>
        <w:t xml:space="preserve"> </w:t>
      </w:r>
      <w:r w:rsidR="008D6689" w:rsidRPr="008D6689">
        <w:rPr>
          <w:rFonts w:ascii="Helvetica" w:hAnsi="Helvetica" w:cs="Helvetica"/>
          <w:szCs w:val="20"/>
          <w:shd w:val="clear" w:color="auto" w:fill="FFFFFF"/>
        </w:rPr>
        <w:t>https://doi.org/10.18280/isi.270201</w:t>
      </w:r>
    </w:p>
    <w:p w:rsidR="00AC76CF" w:rsidRPr="00AC76CF" w:rsidRDefault="00AC76CF" w:rsidP="00AC76CF">
      <w:pPr>
        <w:spacing w:line="240" w:lineRule="auto"/>
        <w:ind w:left="454" w:hanging="454"/>
        <w:jc w:val="both"/>
        <w:rPr>
          <w:rFonts w:ascii="Helvetica" w:hAnsi="Helvetica" w:cs="Helvetica"/>
          <w:b/>
          <w:sz w:val="24"/>
        </w:rPr>
      </w:pPr>
    </w:p>
    <w:sectPr w:rsidR="00AC76CF" w:rsidRPr="00AC76CF" w:rsidSect="002E0BE1">
      <w:headerReference w:type="even" r:id="rId9"/>
      <w:headerReference w:type="default" r:id="rId10"/>
      <w:headerReference w:type="first" r:id="rId11"/>
      <w:footnotePr>
        <w:numFmt w:val="chicago"/>
      </w:footnotePr>
      <w:pgSz w:w="11910" w:h="16840" w:code="9"/>
      <w:pgMar w:top="1701" w:right="1701" w:bottom="1418" w:left="1701" w:header="1247"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FE1" w:rsidRDefault="00DC5FE1" w:rsidP="00B14B6A">
      <w:pPr>
        <w:spacing w:line="240" w:lineRule="auto"/>
      </w:pPr>
      <w:r>
        <w:separator/>
      </w:r>
    </w:p>
  </w:endnote>
  <w:endnote w:type="continuationSeparator" w:id="0">
    <w:p w:rsidR="00DC5FE1" w:rsidRDefault="00DC5FE1" w:rsidP="00B14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FE1" w:rsidRDefault="00DC5FE1" w:rsidP="00B14B6A">
      <w:pPr>
        <w:spacing w:line="240" w:lineRule="auto"/>
      </w:pPr>
      <w:r>
        <w:separator/>
      </w:r>
    </w:p>
  </w:footnote>
  <w:footnote w:type="continuationSeparator" w:id="0">
    <w:p w:rsidR="00DC5FE1" w:rsidRDefault="00DC5FE1" w:rsidP="00B14B6A">
      <w:pPr>
        <w:spacing w:line="240" w:lineRule="auto"/>
      </w:pPr>
      <w:r>
        <w:continuationSeparator/>
      </w:r>
    </w:p>
  </w:footnote>
  <w:footnote w:id="1">
    <w:p w:rsidR="005413A2" w:rsidRPr="00604C13" w:rsidRDefault="005413A2" w:rsidP="00604C13">
      <w:pPr>
        <w:pStyle w:val="FootnoteText"/>
        <w:spacing w:line="216" w:lineRule="auto"/>
        <w:rPr>
          <w:rFonts w:ascii="Helvetica" w:hAnsi="Helvetica" w:cs="Helvetica"/>
          <w:sz w:val="18"/>
        </w:rPr>
      </w:pPr>
      <w:r w:rsidRPr="00604C13">
        <w:rPr>
          <w:rStyle w:val="FootnoteReference"/>
          <w:rFonts w:ascii="Helvetica" w:hAnsi="Helvetica" w:cs="Helvetica"/>
          <w:b/>
          <w:vertAlign w:val="baseline"/>
        </w:rPr>
        <w:footnoteRef/>
      </w:r>
      <w:r w:rsidRPr="00604C13">
        <w:rPr>
          <w:b/>
        </w:rPr>
        <w:t xml:space="preserve"> </w:t>
      </w:r>
      <w:r w:rsidRPr="00604C13">
        <w:rPr>
          <w:rFonts w:ascii="Helvetica" w:hAnsi="Helvetica" w:cs="Helvetica"/>
          <w:sz w:val="18"/>
        </w:rPr>
        <w:t>Corresponding Author: John Dewey</w:t>
      </w:r>
    </w:p>
    <w:p w:rsidR="005413A2" w:rsidRPr="00604C13" w:rsidRDefault="005413A2" w:rsidP="00604C13">
      <w:pPr>
        <w:pStyle w:val="FootnoteText"/>
        <w:spacing w:line="216" w:lineRule="auto"/>
        <w:ind w:left="142"/>
        <w:rPr>
          <w:b/>
          <w:sz w:val="18"/>
        </w:rPr>
      </w:pPr>
      <w:r w:rsidRPr="00604C13">
        <w:rPr>
          <w:rFonts w:ascii="Helvetica" w:hAnsi="Helvetica" w:cs="Helvetica"/>
          <w:sz w:val="18"/>
        </w:rPr>
        <w:t>Email: jeanpiaget@</w:t>
      </w:r>
      <w:r w:rsidR="002E572F" w:rsidRPr="00604C13">
        <w:rPr>
          <w:rFonts w:ascii="Helvetica" w:hAnsi="Helvetica" w:cs="Helvetica"/>
          <w:sz w:val="18"/>
        </w:rPr>
        <w:t>univ-</w:t>
      </w:r>
      <w:r w:rsidRPr="00604C13">
        <w:rPr>
          <w:rFonts w:ascii="Helvetica" w:hAnsi="Helvetica" w:cs="Helvetica"/>
          <w:sz w:val="18"/>
        </w:rPr>
        <w:t>switzerland.ac.id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elvetica" w:hAnsi="Helvetica" w:cs="Helvetica"/>
        <w:sz w:val="18"/>
        <w:szCs w:val="20"/>
      </w:rPr>
      <w:id w:val="649021589"/>
      <w:docPartObj>
        <w:docPartGallery w:val="Page Numbers (Top of Page)"/>
        <w:docPartUnique/>
      </w:docPartObj>
    </w:sdtPr>
    <w:sdtEndPr>
      <w:rPr>
        <w:noProof/>
      </w:rPr>
    </w:sdtEndPr>
    <w:sdtContent>
      <w:p w:rsidR="00034700" w:rsidRPr="00ED0D01" w:rsidRDefault="00034700" w:rsidP="002D21F3">
        <w:pPr>
          <w:pStyle w:val="Header"/>
          <w:pBdr>
            <w:bottom w:val="single" w:sz="12" w:space="1" w:color="auto"/>
          </w:pBdr>
          <w:tabs>
            <w:tab w:val="clear" w:pos="4680"/>
            <w:tab w:val="clear" w:pos="9360"/>
            <w:tab w:val="right" w:pos="8505"/>
          </w:tabs>
          <w:rPr>
            <w:rFonts w:ascii="Helvetica" w:hAnsi="Helvetica" w:cs="Helvetica"/>
            <w:sz w:val="18"/>
            <w:szCs w:val="20"/>
          </w:rPr>
        </w:pPr>
        <w:r w:rsidRPr="00ED0D01">
          <w:rPr>
            <w:rFonts w:ascii="Helvetica" w:hAnsi="Helvetica" w:cs="Helvetica"/>
            <w:sz w:val="18"/>
            <w:szCs w:val="20"/>
          </w:rPr>
          <w:fldChar w:fldCharType="begin"/>
        </w:r>
        <w:r w:rsidRPr="00ED0D01">
          <w:rPr>
            <w:rFonts w:ascii="Helvetica" w:hAnsi="Helvetica" w:cs="Helvetica"/>
            <w:sz w:val="18"/>
            <w:szCs w:val="20"/>
          </w:rPr>
          <w:instrText xml:space="preserve"> PAGE   \* MERGEFORMAT </w:instrText>
        </w:r>
        <w:r w:rsidRPr="00ED0D01">
          <w:rPr>
            <w:rFonts w:ascii="Helvetica" w:hAnsi="Helvetica" w:cs="Helvetica"/>
            <w:sz w:val="18"/>
            <w:szCs w:val="20"/>
          </w:rPr>
          <w:fldChar w:fldCharType="separate"/>
        </w:r>
        <w:r w:rsidR="005E1F8F">
          <w:rPr>
            <w:rFonts w:ascii="Helvetica" w:hAnsi="Helvetica" w:cs="Helvetica"/>
            <w:noProof/>
            <w:sz w:val="18"/>
            <w:szCs w:val="20"/>
          </w:rPr>
          <w:t>8</w:t>
        </w:r>
        <w:r w:rsidRPr="00ED0D01">
          <w:rPr>
            <w:rFonts w:ascii="Helvetica" w:hAnsi="Helvetica" w:cs="Helvetica"/>
            <w:noProof/>
            <w:sz w:val="18"/>
            <w:szCs w:val="20"/>
          </w:rPr>
          <w:fldChar w:fldCharType="end"/>
        </w:r>
        <w:r w:rsidRPr="00ED0D01">
          <w:rPr>
            <w:rFonts w:ascii="Helvetica" w:hAnsi="Helvetica" w:cs="Helvetica"/>
            <w:noProof/>
            <w:sz w:val="18"/>
            <w:szCs w:val="20"/>
          </w:rPr>
          <w:tab/>
          <w:t>Dewet et al.</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elvetica" w:hAnsi="Helvetica" w:cs="Helvetica"/>
        <w:sz w:val="18"/>
      </w:rPr>
      <w:id w:val="-1247349502"/>
      <w:docPartObj>
        <w:docPartGallery w:val="Page Numbers (Top of Page)"/>
        <w:docPartUnique/>
      </w:docPartObj>
    </w:sdtPr>
    <w:sdtEndPr>
      <w:rPr>
        <w:noProof/>
      </w:rPr>
    </w:sdtEndPr>
    <w:sdtContent>
      <w:p w:rsidR="00034700" w:rsidRPr="00ED0D01" w:rsidRDefault="00270570" w:rsidP="002D21F3">
        <w:pPr>
          <w:pStyle w:val="Header"/>
          <w:pBdr>
            <w:bottom w:val="single" w:sz="12" w:space="1" w:color="auto"/>
          </w:pBdr>
          <w:tabs>
            <w:tab w:val="clear" w:pos="4680"/>
            <w:tab w:val="clear" w:pos="9360"/>
            <w:tab w:val="right" w:pos="8505"/>
          </w:tabs>
          <w:jc w:val="right"/>
          <w:rPr>
            <w:rFonts w:ascii="Helvetica" w:hAnsi="Helvetica" w:cs="Helvetica"/>
            <w:sz w:val="18"/>
          </w:rPr>
        </w:pPr>
        <w:r w:rsidRPr="00ED0D01">
          <w:rPr>
            <w:rFonts w:ascii="Helvetica" w:hAnsi="Helvetica" w:cs="Helvetica"/>
            <w:sz w:val="18"/>
          </w:rPr>
          <w:t>The impact of mathematical thinking and …</w:t>
        </w:r>
        <w:r w:rsidRPr="00ED0D01">
          <w:rPr>
            <w:rFonts w:ascii="Helvetica" w:hAnsi="Helvetica" w:cs="Helvetica"/>
            <w:sz w:val="18"/>
          </w:rPr>
          <w:tab/>
          <w:t xml:space="preserve"> </w:t>
        </w:r>
        <w:r w:rsidRPr="00ED0D01">
          <w:rPr>
            <w:rFonts w:ascii="Helvetica" w:hAnsi="Helvetica" w:cs="Helvetica"/>
            <w:sz w:val="18"/>
          </w:rPr>
          <w:fldChar w:fldCharType="begin"/>
        </w:r>
        <w:r w:rsidRPr="00ED0D01">
          <w:rPr>
            <w:rFonts w:ascii="Helvetica" w:hAnsi="Helvetica" w:cs="Helvetica"/>
            <w:sz w:val="18"/>
          </w:rPr>
          <w:instrText xml:space="preserve"> PAGE   \* MERGEFORMAT </w:instrText>
        </w:r>
        <w:r w:rsidRPr="00ED0D01">
          <w:rPr>
            <w:rFonts w:ascii="Helvetica" w:hAnsi="Helvetica" w:cs="Helvetica"/>
            <w:sz w:val="18"/>
          </w:rPr>
          <w:fldChar w:fldCharType="separate"/>
        </w:r>
        <w:r w:rsidR="005E1F8F">
          <w:rPr>
            <w:rFonts w:ascii="Helvetica" w:hAnsi="Helvetica" w:cs="Helvetica"/>
            <w:noProof/>
            <w:sz w:val="18"/>
          </w:rPr>
          <w:t>7</w:t>
        </w:r>
        <w:r w:rsidRPr="00ED0D01">
          <w:rPr>
            <w:rFonts w:ascii="Helvetica" w:hAnsi="Helvetica" w:cs="Helvetica"/>
            <w:noProof/>
            <w:sz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B7A" w:rsidRPr="002D1A6A" w:rsidRDefault="00594B7A" w:rsidP="002D1A6A">
    <w:pPr>
      <w:pStyle w:val="Header"/>
      <w:rPr>
        <w:rFonts w:ascii="Helvetica" w:hAnsi="Helvetica"/>
        <w:b/>
        <w:sz w:val="20"/>
      </w:rPr>
    </w:pPr>
    <w:r w:rsidRPr="002D1A6A">
      <w:rPr>
        <w:rFonts w:ascii="Helvetica" w:hAnsi="Helvetica"/>
        <w:b/>
        <w:sz w:val="20"/>
      </w:rPr>
      <w:t>International Journal of Mathematical Thinking and Cultural Practices</w:t>
    </w:r>
  </w:p>
  <w:p w:rsidR="00594B7A" w:rsidRPr="002D1A6A" w:rsidRDefault="00594B7A" w:rsidP="002D1A6A">
    <w:pPr>
      <w:pStyle w:val="Header"/>
      <w:rPr>
        <w:rFonts w:ascii="Helvetica" w:hAnsi="Helvetica"/>
        <w:sz w:val="20"/>
      </w:rPr>
    </w:pPr>
    <w:r w:rsidRPr="002D1A6A">
      <w:rPr>
        <w:rFonts w:ascii="Helvetica" w:hAnsi="Helvetica"/>
        <w:sz w:val="20"/>
      </w:rPr>
      <w:t>Volume XX, Issue XX, December 2025</w:t>
    </w:r>
  </w:p>
  <w:p w:rsidR="000C0ACB" w:rsidRDefault="00594B7A" w:rsidP="002D1A6A">
    <w:pPr>
      <w:pStyle w:val="Header"/>
      <w:rPr>
        <w:rFonts w:ascii="Helvetica" w:hAnsi="Helvetica"/>
      </w:rPr>
    </w:pPr>
    <w:r w:rsidRPr="002D1A6A">
      <w:rPr>
        <w:rFonts w:ascii="Helvetica" w:hAnsi="Helvetica"/>
        <w:sz w:val="20"/>
      </w:rPr>
      <w:t>DOI:</w:t>
    </w:r>
  </w:p>
  <w:p w:rsidR="000C0ACB" w:rsidRDefault="000C0ACB" w:rsidP="002D21F3">
    <w:pPr>
      <w:pStyle w:val="Header"/>
      <w:rPr>
        <w:rFonts w:ascii="Helvetica" w:hAnsi="Helvetica"/>
      </w:rPr>
    </w:pPr>
  </w:p>
  <w:p w:rsidR="00AD5EFB" w:rsidRDefault="00AD5EFB" w:rsidP="002D1A6A">
    <w:pPr>
      <w:pStyle w:val="Header"/>
      <w:rPr>
        <w:rFonts w:ascii="Helvetica" w:hAnsi="Helvetica"/>
      </w:rPr>
    </w:pPr>
  </w:p>
  <w:p w:rsidR="00AD5EFB" w:rsidRDefault="00AD5EFB" w:rsidP="002D1A6A">
    <w:pPr>
      <w:pStyle w:val="Header"/>
      <w:rPr>
        <w:rFonts w:ascii="Helvetica" w:hAnsi="Helvetica"/>
      </w:rPr>
    </w:pPr>
  </w:p>
  <w:p w:rsidR="00AD5EFB" w:rsidRDefault="00AD5EFB" w:rsidP="002D1A6A">
    <w:pPr>
      <w:pStyle w:val="Header"/>
      <w:rPr>
        <w:rFonts w:ascii="Helvetica" w:hAnsi="Helvetica"/>
      </w:rPr>
    </w:pPr>
  </w:p>
  <w:p w:rsidR="000C0ACB" w:rsidRDefault="000C0ACB" w:rsidP="002D1A6A">
    <w:pPr>
      <w:pStyle w:val="Header"/>
      <w:rPr>
        <w:rFonts w:ascii="Helvetica" w:hAnsi="Helvetica"/>
      </w:rPr>
    </w:pPr>
  </w:p>
  <w:p w:rsidR="000C0ACB" w:rsidRPr="0031248B" w:rsidRDefault="000C0ACB" w:rsidP="002D1A6A">
    <w:pPr>
      <w:pStyle w:val="Header"/>
      <w:rPr>
        <w:rFonts w:ascii="Helvetica" w:hAnsi="Helvetic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E7AB1"/>
    <w:multiLevelType w:val="multilevel"/>
    <w:tmpl w:val="4ACCC5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evenAndOddHeaders/>
  <w:drawingGridHorizontalSpacing w:val="110"/>
  <w:drawingGridVerticalSpacing w:val="299"/>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B0"/>
    <w:rsid w:val="000100BD"/>
    <w:rsid w:val="00034700"/>
    <w:rsid w:val="00042DEF"/>
    <w:rsid w:val="000939E7"/>
    <w:rsid w:val="000A6258"/>
    <w:rsid w:val="000A7AAB"/>
    <w:rsid w:val="000C0ACB"/>
    <w:rsid w:val="000C30F0"/>
    <w:rsid w:val="000D3B95"/>
    <w:rsid w:val="00115BCA"/>
    <w:rsid w:val="001716FB"/>
    <w:rsid w:val="001916A1"/>
    <w:rsid w:val="0019582F"/>
    <w:rsid w:val="001A669D"/>
    <w:rsid w:val="0020613F"/>
    <w:rsid w:val="00215292"/>
    <w:rsid w:val="002228D7"/>
    <w:rsid w:val="00270570"/>
    <w:rsid w:val="002820B3"/>
    <w:rsid w:val="00291D24"/>
    <w:rsid w:val="0029243A"/>
    <w:rsid w:val="00296CEA"/>
    <w:rsid w:val="002D1A6A"/>
    <w:rsid w:val="002D21F3"/>
    <w:rsid w:val="002E0BE1"/>
    <w:rsid w:val="002E0E65"/>
    <w:rsid w:val="002E572F"/>
    <w:rsid w:val="002F002E"/>
    <w:rsid w:val="002F781C"/>
    <w:rsid w:val="003020CE"/>
    <w:rsid w:val="0031248B"/>
    <w:rsid w:val="00356FF3"/>
    <w:rsid w:val="00363CD9"/>
    <w:rsid w:val="00365D3F"/>
    <w:rsid w:val="003822A5"/>
    <w:rsid w:val="003B169B"/>
    <w:rsid w:val="003C16E5"/>
    <w:rsid w:val="003E6995"/>
    <w:rsid w:val="003E7681"/>
    <w:rsid w:val="003F1A1D"/>
    <w:rsid w:val="00415AAF"/>
    <w:rsid w:val="00425776"/>
    <w:rsid w:val="00435620"/>
    <w:rsid w:val="004359CC"/>
    <w:rsid w:val="00482240"/>
    <w:rsid w:val="004901D5"/>
    <w:rsid w:val="00494340"/>
    <w:rsid w:val="004C1400"/>
    <w:rsid w:val="005413A2"/>
    <w:rsid w:val="005425D5"/>
    <w:rsid w:val="00554AAA"/>
    <w:rsid w:val="00594B7A"/>
    <w:rsid w:val="005A4561"/>
    <w:rsid w:val="005A585B"/>
    <w:rsid w:val="005D1308"/>
    <w:rsid w:val="005E1F8F"/>
    <w:rsid w:val="00604C13"/>
    <w:rsid w:val="00626E44"/>
    <w:rsid w:val="0063640A"/>
    <w:rsid w:val="0064090D"/>
    <w:rsid w:val="00664DAB"/>
    <w:rsid w:val="00681761"/>
    <w:rsid w:val="006A7605"/>
    <w:rsid w:val="006B1367"/>
    <w:rsid w:val="006C4BBC"/>
    <w:rsid w:val="006F05FE"/>
    <w:rsid w:val="00711447"/>
    <w:rsid w:val="00734571"/>
    <w:rsid w:val="00740FBE"/>
    <w:rsid w:val="00743CB6"/>
    <w:rsid w:val="00830829"/>
    <w:rsid w:val="0083776B"/>
    <w:rsid w:val="00840310"/>
    <w:rsid w:val="0085554C"/>
    <w:rsid w:val="00877126"/>
    <w:rsid w:val="00896977"/>
    <w:rsid w:val="008A79E6"/>
    <w:rsid w:val="008D6689"/>
    <w:rsid w:val="00922665"/>
    <w:rsid w:val="00931F3A"/>
    <w:rsid w:val="00956F74"/>
    <w:rsid w:val="0096698C"/>
    <w:rsid w:val="00996117"/>
    <w:rsid w:val="009A290D"/>
    <w:rsid w:val="009A43D3"/>
    <w:rsid w:val="009B145E"/>
    <w:rsid w:val="009B14A4"/>
    <w:rsid w:val="009D7573"/>
    <w:rsid w:val="009E2F01"/>
    <w:rsid w:val="009F2013"/>
    <w:rsid w:val="009F32B0"/>
    <w:rsid w:val="00A17034"/>
    <w:rsid w:val="00A3209E"/>
    <w:rsid w:val="00A514A7"/>
    <w:rsid w:val="00A64B3F"/>
    <w:rsid w:val="00A94BAC"/>
    <w:rsid w:val="00AA2C2D"/>
    <w:rsid w:val="00AA6F75"/>
    <w:rsid w:val="00AC76CF"/>
    <w:rsid w:val="00AD5EFB"/>
    <w:rsid w:val="00AF282A"/>
    <w:rsid w:val="00AF5B5A"/>
    <w:rsid w:val="00B14B6A"/>
    <w:rsid w:val="00B651DA"/>
    <w:rsid w:val="00B92FC9"/>
    <w:rsid w:val="00BB452C"/>
    <w:rsid w:val="00BC658C"/>
    <w:rsid w:val="00BE0CAA"/>
    <w:rsid w:val="00BE4156"/>
    <w:rsid w:val="00C014D0"/>
    <w:rsid w:val="00C31CF7"/>
    <w:rsid w:val="00C62CDE"/>
    <w:rsid w:val="00C65BC6"/>
    <w:rsid w:val="00C93334"/>
    <w:rsid w:val="00CB1C41"/>
    <w:rsid w:val="00CB61DC"/>
    <w:rsid w:val="00D564AE"/>
    <w:rsid w:val="00D71966"/>
    <w:rsid w:val="00D7508C"/>
    <w:rsid w:val="00DB74D5"/>
    <w:rsid w:val="00DC0859"/>
    <w:rsid w:val="00DC5FE1"/>
    <w:rsid w:val="00DC6DFA"/>
    <w:rsid w:val="00DE5864"/>
    <w:rsid w:val="00DF29D4"/>
    <w:rsid w:val="00E3099F"/>
    <w:rsid w:val="00E54222"/>
    <w:rsid w:val="00E545A8"/>
    <w:rsid w:val="00E71481"/>
    <w:rsid w:val="00E728E0"/>
    <w:rsid w:val="00E948E6"/>
    <w:rsid w:val="00EA0479"/>
    <w:rsid w:val="00EB279A"/>
    <w:rsid w:val="00EC7206"/>
    <w:rsid w:val="00ED0D01"/>
    <w:rsid w:val="00F202DF"/>
    <w:rsid w:val="00F2061F"/>
    <w:rsid w:val="00F76411"/>
    <w:rsid w:val="00FB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A9EAD"/>
  <w15:chartTrackingRefBased/>
  <w15:docId w15:val="{1BA92D55-9661-4634-9497-62103F2B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CDE"/>
    <w:pPr>
      <w:spacing w:line="240" w:lineRule="auto"/>
    </w:pPr>
    <w:rPr>
      <w:rFonts w:asciiTheme="minorHAnsi" w:eastAsiaTheme="minorHAnsi" w:hAnsiTheme="minorHAnsi" w:cstheme="minorBidi"/>
      <w:kern w:val="2"/>
      <w:lang w:val="en-ID"/>
      <w14:ligatures w14:val="standardContextual"/>
    </w:rPr>
  </w:style>
  <w:style w:type="paragraph" w:styleId="ListParagraph">
    <w:name w:val="List Paragraph"/>
    <w:basedOn w:val="Normal"/>
    <w:uiPriority w:val="34"/>
    <w:qFormat/>
    <w:rsid w:val="00C62CDE"/>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B14B6A"/>
    <w:pPr>
      <w:tabs>
        <w:tab w:val="center" w:pos="4680"/>
        <w:tab w:val="right" w:pos="9360"/>
      </w:tabs>
      <w:spacing w:line="240" w:lineRule="auto"/>
    </w:pPr>
  </w:style>
  <w:style w:type="character" w:customStyle="1" w:styleId="HeaderChar">
    <w:name w:val="Header Char"/>
    <w:basedOn w:val="DefaultParagraphFont"/>
    <w:link w:val="Header"/>
    <w:uiPriority w:val="99"/>
    <w:rsid w:val="00B14B6A"/>
  </w:style>
  <w:style w:type="paragraph" w:styleId="Footer">
    <w:name w:val="footer"/>
    <w:basedOn w:val="Normal"/>
    <w:link w:val="FooterChar"/>
    <w:uiPriority w:val="99"/>
    <w:unhideWhenUsed/>
    <w:rsid w:val="00B14B6A"/>
    <w:pPr>
      <w:tabs>
        <w:tab w:val="center" w:pos="4680"/>
        <w:tab w:val="right" w:pos="9360"/>
      </w:tabs>
      <w:spacing w:line="240" w:lineRule="auto"/>
    </w:pPr>
  </w:style>
  <w:style w:type="character" w:customStyle="1" w:styleId="FooterChar">
    <w:name w:val="Footer Char"/>
    <w:basedOn w:val="DefaultParagraphFont"/>
    <w:link w:val="Footer"/>
    <w:uiPriority w:val="99"/>
    <w:rsid w:val="00B14B6A"/>
  </w:style>
  <w:style w:type="table" w:styleId="TableGrid">
    <w:name w:val="Table Grid"/>
    <w:basedOn w:val="TableNormal"/>
    <w:uiPriority w:val="39"/>
    <w:rsid w:val="00B14B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FF3"/>
    <w:rPr>
      <w:color w:val="0563C1" w:themeColor="hyperlink"/>
      <w:u w:val="single"/>
    </w:rPr>
  </w:style>
  <w:style w:type="paragraph" w:styleId="FootnoteText">
    <w:name w:val="footnote text"/>
    <w:basedOn w:val="Normal"/>
    <w:link w:val="FootnoteTextChar"/>
    <w:uiPriority w:val="99"/>
    <w:semiHidden/>
    <w:unhideWhenUsed/>
    <w:rsid w:val="005413A2"/>
    <w:pPr>
      <w:spacing w:line="240" w:lineRule="auto"/>
    </w:pPr>
    <w:rPr>
      <w:sz w:val="20"/>
      <w:szCs w:val="20"/>
    </w:rPr>
  </w:style>
  <w:style w:type="character" w:customStyle="1" w:styleId="FootnoteTextChar">
    <w:name w:val="Footnote Text Char"/>
    <w:basedOn w:val="DefaultParagraphFont"/>
    <w:link w:val="FootnoteText"/>
    <w:uiPriority w:val="99"/>
    <w:semiHidden/>
    <w:rsid w:val="005413A2"/>
    <w:rPr>
      <w:sz w:val="20"/>
      <w:szCs w:val="20"/>
    </w:rPr>
  </w:style>
  <w:style w:type="character" w:styleId="FootnoteReference">
    <w:name w:val="footnote reference"/>
    <w:basedOn w:val="DefaultParagraphFont"/>
    <w:uiPriority w:val="99"/>
    <w:semiHidden/>
    <w:unhideWhenUsed/>
    <w:rsid w:val="00541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A6EAE19-043B-4071-97E3-23B2AC61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10</Pages>
  <Words>4510</Words>
  <Characters>25710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132</cp:revision>
  <dcterms:created xsi:type="dcterms:W3CDTF">2025-11-23T06:53:00Z</dcterms:created>
  <dcterms:modified xsi:type="dcterms:W3CDTF">2025-12-05T15:29:00Z</dcterms:modified>
</cp:coreProperties>
</file>